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32h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ja i moje środowisko, nawiązywanie kontaktów z przedstawicielami innych narodowości,
- życie rodzinne:  stopnie pokrewieństwa, wzajemne relacje, obowiązki domowe,
- wolny czas, aktywne formy wypoczynku,
- kulinaria: kuchnia niemiecka/polska,  nawyki żywieniowe, zdrowy styl życia,
- kraje niemieckiego obszaru językowego: Austria, Niemcy, Szwajcaria, tradycja/współczesność,
Zagadnienia gramatyczne: 
- odmiana czasownika (powtórzenie): czasowniki nieregularne, rozdzielnie/nierozdzielnie złożone, modalne, tryb rozkazujący,
- czasy przeszłe: Perfekt, Imperfekt,
- zdanie dopełnieniowe i zdanie pytające zależne: spójniki dass, ob,
- zdanie złożone współrzędnie, szyk zdania prosty/przestawny</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2025-05-08T16:42:34+02:00</dcterms:created>
  <dcterms:modified xsi:type="dcterms:W3CDTF">2025-05-08T16:42:34+02:00</dcterms:modified>
</cp:coreProperties>
</file>

<file path=docProps/custom.xml><?xml version="1.0" encoding="utf-8"?>
<Properties xmlns="http://schemas.openxmlformats.org/officeDocument/2006/custom-properties" xmlns:vt="http://schemas.openxmlformats.org/officeDocument/2006/docPropsVTypes"/>
</file>