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wykładu + 10h ćwiczeń + 25h praca indywidualna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wykładu + 10h ćwiczeń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10h ćwiczeń + 25h praca indywidualna + 5h konsultacji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zaliczenia przedmiotu wymagane jest uzyskanie co najmniej oceny 3;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Obowiązkowa: 
1.	Snażyk Z.,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Za-rys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znaczenie dla EOG) dostępny: orka.sejm.gov.pl
Uzupełniająca:
1.	Gronkiewicz-Waltz H., Wierzbowski M., red. 2017 Prawo gospodarcze. Zagadnienia administracyjnoprawne. red. Wyd.5, Wolters Kluwer, Warszawa, 
2.	T. Liszcz 2019Prawo pracy Wyd. Wolters Kluwer,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I2_W09 : </w:t>
      </w:r>
    </w:p>
    <w:p>
      <w:pPr/>
      <w:r>
        <w:rPr/>
        <w:t xml:space="preserve">Główne trendy rozwojowe w zakresie przedsiębiorczości i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 : </w:t>
      </w:r>
    </w:p>
    <w:p>
      <w:pPr/>
      <w:r>
        <w:rPr/>
        <w:t xml:space="preserve">Zasady ochrony własności intelektualnej i prawa autorskiego oraz prawnych uwarunkowań funkcjonowania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 : </w:t>
      </w:r>
    </w:p>
    <w:p>
      <w:pPr/>
      <w:r>
        <w:rPr/>
        <w:t xml:space="preserve">Identyfikować, interpretować i wyjaśniać złożone zjawiska i procesy społeczne oraz relacje między nimi z wykorzystaniem wiedzy z zakresu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 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I2_K06, I2_K04: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2024-05-19T17:17:55+02:00</dcterms:created>
  <dcterms:modified xsi:type="dcterms:W3CDTF">2024-05-19T17:17:55+02:00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