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część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ECTS: 
40h przygotowanie tematu i konspektu pracy dyplomowej + 192h badania, analizy, studia literaturowe, prace projektowe związane z przygotowanie fragmentów pracy dyplomowej zgodnie z harmonogramem realizacji pracy + 18h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
18h konsultacje z promotorem pracy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ECTS: 
40h przygotowanie tematu i konspektu pracy dyplomowej + 192h badania, analizy, studia literaturowe, prace projektowe związane z przygotowanie fragmentów pracy dyplomowej zgodnie z harmonogramem realizacji pracy + 18h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magisterskim,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Konsultacje merytoryczne kolejnych rozdziałów (części) pracy dyplomowej
2.	Przygotowanie do egzaminu dyplomowego, w tym przygotowanie prezentacji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weryfikacja fragmentów materiału przygotowywanego przez studenta, rozmowy konsultacyjne, ocena terminowości realizacji kolejnych fragmentów pracy dyplomowej (na podstawie har-monogramu realizacji pracy).
Ocena sumatywna: Przy zakończeniu semestru oceniany jest stopień zaawansowania pracy dyplomowej i ocena merytoryczna przygotowanego materiału, co stanowi podstawę do zaliczenia przedmiotu i przyznania punktów ECTS.
Przyznanie punktów za pracę dyplomową, co jest równoznaczne z zaliczeniem przedmiotu, może nastąpić jednie w przypadku zakończenia elementów pracy przewidzianych w ustalonym harmonogramie pracy dyplomowej.
Zakres materiału  i prac, które powinny być wykonane w II semestrze dyplomowania określa harmonogram projektowania dyplomowego, będący załącznikiem do karty przedmiotu Harmonogram obejmuje obydwa semestry dyplomowania i powinien być wykorzystany do monitorowania prac studenta przez wskazanie w kolumnach W (wykonanie) stanu zaawansowania prac przewidzianych harmonogramem. Harmonogram (FOR-10)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promotora, a w ostatnim tygodniu semestru dyplomowania przekazywany osobie prowadzącej przedmiot Seminarium Dyplomowe 2 jako dokument zatwierdzający aktywność i postępy pracy dyplomanta.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B2_W01: </w:t>
      </w:r>
    </w:p>
    <w:p>
      <w:pPr/>
      <w:r>
        <w:rPr/>
        <w:t xml:space="preserve">Absolwent zna i rozumie w pogłębionym stopniu teorie naukowe właściwe dla funkcjonowania organizacji oraz kierunków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B2_W08: </w:t>
      </w:r>
    </w:p>
    <w:p>
      <w:pPr/>
      <w:r>
        <w:rPr/>
        <w:t xml:space="preserve">Absolwent zna i rozumie  w pogłębionym stopniu miejsce zarządzania bezpieczeństwem w dyscyplinie nauk o zarządzaniu oraz jego relacje do innych nauk (w tym nauk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funkcjonowania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Absolwent potrafi przy identyfikacji i formułowaniu specyfikacji zadań oraz ich rozwiązywaniu dobierać i wykorzystywać właściwe metody i narzędzia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B2_U04: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gotów do 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2024-05-02T07:33:36+02:00</dcterms:created>
  <dcterms:modified xsi:type="dcterms:W3CDTF">2024-05-02T07:33:36+02:00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