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Sobczak Lidia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+ 22h zapoznanie się ze wskazaną literaturą + 30h czas na przygotowanie pracy pisemnej + 3h konsultacji=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ćwiczenia +3h konsultacji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+ 22h zapoznanie się ze wskazaną literaturą + 30h czas na przygotowanie pracy pisemnej + 3h konsultacji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rachunku kosztów, sprawozdawczości finansowej, finansów, zarządzania finansami.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studiów wypłacalności (feasibility study), ze szczególnym uwzględnieniem planowania finansowego oraz finansowej analizy i oceny efektywności projektów inwestycyjnych przedsiębiorstw.  </w:t>
      </w:r>
    </w:p>
    <w:p>
      <w:pPr>
        <w:keepNext w:val="1"/>
        <w:spacing w:after="10"/>
      </w:pPr>
      <w:r>
        <w:rPr>
          <w:b/>
          <w:bCs/>
        </w:rPr>
        <w:t xml:space="preserve">Treści kształcenia: </w:t>
      </w:r>
    </w:p>
    <w:p>
      <w:pPr>
        <w:spacing w:before="20" w:after="190"/>
      </w:pPr>
      <w:r>
        <w:rPr/>
        <w:t xml:space="preserve">A. Wykład: 
1. Ogólna charakterystyka inwestycji przedsiębiorstw.
2. Fazy cyklu życia projektów rozwojowych.
3. Nakłady inwestycyjne i ich struktura.
4. Źródła finansowania inwestycji.
5. Wybór wzorca finansowania inwestycji.
6. Prognoza przychodów ze sprzedaży i kosztów w okresie eksploatacji projektu.
7. Koszty stałe i zmienne w analizie projektów inwestycyjnych.
8. Analiza progu rentowności.
9. Plan finansowy projektu.
10. Istota stopy dyskontowej i metody jej wyznaczania.
11. Niedyskontowe kryteria oceny projektów inwestycyjnych.
12. Tradycyjne mierniki dyskontowania oceny efektywności inwestycji.
13. Wady i zalety tradycyjnych mierników dyskontowania.
14. Zmodyfikowane mierniki dyskontowe.
15. Analiza ryzyka projektu.
B. Ćwiczenia: 
1. Przygotowanie planu finansowego projektu.
2. Ocena efektywności projektu za pomocą niedyskontowych kryteriów oceny projektów inwestycyjnych.
3. Ocena efektywności projektu za pomocą tradycyjnych mierników dyskontowania.
4. Ocena efektywności projektu za pomocą zmodyfikowanych mierników dyskontowych.
5. Analiza ryzyka projektu.</w:t>
      </w:r>
    </w:p>
    <w:p>
      <w:pPr>
        <w:keepNext w:val="1"/>
        <w:spacing w:after="10"/>
      </w:pPr>
      <w:r>
        <w:rPr>
          <w:b/>
          <w:bCs/>
        </w:rPr>
        <w:t xml:space="preserve">Metody oceny: </w:t>
      </w:r>
    </w:p>
    <w:p>
      <w:pPr>
        <w:spacing w:before="20" w:after="190"/>
      </w:pPr>
      <w:r>
        <w:rPr/>
        <w:t xml:space="preserve">A. Wykład: 
1. Ocena formatywna - ocena z egzaminu z materiału prezentowanego na wykładzie.
2. Ocena sumatywna - ocena nabytej wiedzy z materiału prezentowanego na wykładzie. 
B. Ćwiczenia: 
1. Ocena formatywna - ocena wykonanego  ćwiczenia.  
2. Ocena sumatywna - ocena wartości merytorycznej przeprowadzonych przez studentów ćwiczeń, terminowość wykonania prac, redakcja raportu końcowego. 
E. Końcowa ocena z przedmiotu: Ocena końcowa: 50% oceny z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Hawranek P. M., 1993. Poradnik przygotowania przemysłowych studiów feasibility. Warszawa: UNIDO.
4.	Jakubczak J., 2008. Metody oceny projektu gospodarczego. Warszawa: PWN. 
Uzupełniająca:
1.	Sierpińska M., Jachna T., 1998.  Ocena przedsiębiorstwa  we-dług standardów światowych.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I1_W04: </w:t>
      </w:r>
    </w:p>
    <w:p>
      <w:pPr/>
      <w:r>
        <w:rPr/>
        <w:t xml:space="preserve">Zna i rozumie teorie oraz ogólną metodologię badań w zakresie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I1_U03: </w:t>
      </w:r>
    </w:p>
    <w:p>
      <w:pPr/>
      <w:r>
        <w:rPr/>
        <w:t xml:space="preserve">Potrafi identyfikować i interpretować podstawowe zjawiska i procesy społeczne z wykorzystaniem wiedzy z zakresu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2024-05-20T01:26:44+02:00</dcterms:created>
  <dcterms:modified xsi:type="dcterms:W3CDTF">2024-05-20T01:26:44+02:00</dcterms:modified>
</cp:coreProperties>
</file>

<file path=docProps/custom.xml><?xml version="1.0" encoding="utf-8"?>
<Properties xmlns="http://schemas.openxmlformats.org/officeDocument/2006/custom-properties" xmlns:vt="http://schemas.openxmlformats.org/officeDocument/2006/docPropsVTypes"/>
</file>