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Architektura korporacyjna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Tadeusz A. Grzeszczyk,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Inżynieria cyfrowa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15h wykład + 15h ćwiczenia + 5h przygotowanie do zajęć, przygotowanie projektów i prezentacji + 10h zapoznanie z literaturą + 5h kon-sultacji=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ECTS 
15h wykład + 15h ćwiczenia +5h konsultacji= 35h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1,4 ECTS 
15h ćwiczenia + 5h przygotowanie do zajęć, przygotowanie projektów i prezentacji + 10h zapoznanie z literaturą + 5h konsultacji = 35h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Obsługa programów MS Office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studentom teoretycznej wiedzy dotyczącej architektury korporacyjnej oraz praktycznych umiejętności jej projektowania, ze szczególnym uwzględnieniem struktur bazujących na systemach inteligentnych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 Wprowadzenie i prezentacja regulaminu przedmiotu. Geneza i istota ładu korporacyjnego, procesów biznesowych wspieranych technologiami ICT i ładu architektonicznego. Kontinuum korporacyjne. Definicja architektury korporacyjnej. Zawód: architekt korporacyjny.
2. Modelowanie przedsiębiorstwa. Struktura, funkcje i powiązania poszczególnych komponentów firmy. Ocena poziomu dojrzałości architektury. Zaspokajanie potrzeb informacyjnych przedsiębiorstwa.
3. Wybrane modele i metody opisu architektury korporacyjnej. Planowanie i wdrażanie architektury korporacyjnej. 
4. Zarządzanie strategiczne, architektura korporacyjna, zarządzanie projektami i programami. 
5. Strategia biznesowa i strategia informatyzacji. Architektura korporacyjna i sztuczna inteligencja. Wyzwania ery Przemysłu 4.0 i Zarządzania 4.0.
6. Perspektywy rozwoju architektury korporacyjnej.
B. Ćwiczenia: 
1. Architektury korporacyjne w różnych przedsiębiorstwach.
2. Zasady projektowania architektur: biznesowych, danych, aplikacji, wiedzy i technologii.
3. Gromadzenie danych empirycznych dotyczących badanych przedsiębiorstw. Analiza i diagnoza stanu początkowego firm z uwzględnieniem przyjętej strategii oraz ich potrzeb informacyjnych. 
4. Proces planowania pożądanego stanu docelowego dla badanych przedsiębiorstw. Określanie możliwych sposobów osiągnięcia stanu docelowego. 
5. Prezentacje projektów studenckich.
6. Wystawianie i poprawianie ocen końcowych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związana z aktywności studentów podczas zajęć
2. Ocena sumatywna: sprawdzian końcowy w formie dyskusji.
B. Ćwiczenia: 
1. Ocena formatywna: dotyczy przedstawiania prezentacji oraz aktywnego uczestnictwa w dyskusjach związanych z projektami studentów.
2. Ocena sumatywna: dotyczy wartości merytorycznej przedstawionych projektów.
E. Końcowa ocena z przedmiotu: średnia arytmetyczna oceny z ćwiczeń i zaliczenia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Marc L. i in., 2017. Enterprise Architecture at Work: Modelling, Communication and Analysis. Berlin Heidelberg: Springer-Verlag.
2.	Ross J. W., Weill P., Robertson D. C., 2010. Architektura korporacyjna jako strategia budowanie fundamentu w biznesie. Warszawa: Studio Emka.
Uzupełniająca:
1.	Grzeszczyk, T. A., 2018. Mixed Intelligent Systems: Developing Models for Project Management and Evaluation. Palgrave Macmil-lan/Springer International Publishing AG.
2.	Skilton, M., Hovsepian, F., 2018. The 4th Industrial Revolution: Responding to the Impact of Artificial Intelligence on Business. Palgrave Macmillan/Springer International Publishing AG.
3.	Stirna, J., Persson, A., 2018. Enterprise Modeling: Facilitating the Process and the People. Springer International Publishing AG.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Każdy projekt powinien być zaprezentowany na zajęciach. Ocenie podlegają zarówno wartości merytoryczne projektów, jak również sposoby ich prezentacji. Warunkiem dopuszczenia do zaliczenia końcowego jest uzyskanie co najmniej dostatecznej oceny z ćwiczeń.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I1_W01: </w:t>
      </w:r>
    </w:p>
    <w:p>
      <w:pPr/>
      <w:r>
        <w:rPr/>
        <w:t xml:space="preserve">Teorie oraz ogólną metodologia badań w zakresie zarządzania, ze szczególnym uwzględnieniem systemów i procesów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Wyniki teoretycznego sprawdzianu, ocena projektów i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I1_W09: </w:t>
      </w:r>
    </w:p>
    <w:p>
      <w:pPr/>
      <w:r>
        <w:rPr/>
        <w:t xml:space="preserve">Teorie oraz ogólna metodologia badań w zakresie zastosowań narzędzi informatycznych w zarządzaniu i produkcji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Wyniki teoretycznego sprawdzianu, ocena projektów i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I1_U01: </w:t>
      </w:r>
    </w:p>
    <w:p>
      <w:pPr/>
      <w:r>
        <w:rPr/>
        <w:t xml:space="preserve">Identyfikacja i interpretacja podstawowych zjawisk i procesów społecznych z wykorzystaniem wiedzy z zakresu zarządzania, ze szczególnym uwzględnieniem uwarunkowań zarządzania przedsiębiorstwem produkcyjnym oraz zarządzania projektami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I1_U16: </w:t>
      </w:r>
    </w:p>
    <w:p>
      <w:pPr/>
      <w:r>
        <w:rPr/>
        <w:t xml:space="preserve">Komunikowanie się z użyciem specjalistycznej terminologii z zakresu nauk ekonomicznych, technicznych i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I1_K01: </w:t>
      </w:r>
    </w:p>
    <w:p>
      <w:pPr/>
      <w:r>
        <w:rPr/>
        <w:t xml:space="preserve">Krytyczna ocena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I1_K02: </w:t>
      </w:r>
    </w:p>
    <w:p>
      <w:pPr/>
      <w:r>
        <w:rPr/>
        <w:t xml:space="preserve">Uznawanie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 i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2025-07-09T00:58:12+02:00</dcterms:created>
  <dcterms:modified xsi:type="dcterms:W3CDTF">2025-07-09T00:58:12+02:00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