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własności intelektualnej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Aleksander Buczacki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Nietechniczne 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IP-IDW-OWINT-2-10Z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52 . Obejmuje:
1) Zajęcia kontaktowe z nauczycielem: - obecność na wykładach - 30 godz, - konsultacje - 2 godz.
 RAZEM: 32 godz.
2) Zajęcia bez kontaktu z nauczycielem (praca własna studenta):
1.	Zapoznanie się ze wskazaną literaturą - 10 godz.
2.	Przygotowanie się do zaliczenia - 10 godz.
RAZEM: 30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kształcenia będzie wykształcenie w studentach umiejętności samodzielnej analizy w zakresie zarządzania własnością intelektualną, ze szczególnym uwzględnieniem potrzeb przedsiębiorstw produkcyjnych, w stopniu umożliwiającym samodzielne rozwiązywanie prostych problemów, jak również przekazanie niezbędnych podstaw teoretycznych w tym zakresie.
Przewiduje się, że w wyniku kształcenia studenci zdobędą umiejętność poruszania się w krajowym oraz wybranych  międzynarodowych systemach ochrony własności intelektualnej.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2h –.Wprowadzenie: cel i zakres ochrony
3h – Przedmioty ochrony własności intelektualnej
3h - Podstawy w zakresie identyfikacji odpowiednich instrumentów ochrony własności intelektualnej
4h – Informacje dotyczące obowiązujących aktów prawnych krajowych i międzynarodowych w zakresie ochrony własności intelektualnej. W szczególności omówienie Ustawy o ochronie własności przemysłowej oraz Ustawy prawo autorskie
2h – Informacje na temat instytucji występujących w systemie ochrony własności intelektualnej
6h – Procedura uzyskania praw wyłącznych w Polsce i w Unii Europejskiej
2h - Źródła i sposoby pozyskiwania informacji patentowej
2h – Konsekwencje powstałe w wyniku naruszenia praw cudzych
4h –Wybrane aspekty zarządzania własnością intelektualną w przedsiębiorstwach przemysłowych 
 2h – Podsumowanie.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Dwa kolokwia (w formie testów) w trakcie trwania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Własność przemysłowa w działalności gospodarczej – przewodnik dla małych i średnich przedsiębiorstw, UPRP, EPO, WIPO, PARP, Warszawa listopad 2003.
2.	Umowy jako prawne nrzędzie transferu technologii, Szwec A., Zioło K., Grzesiak M., PARP 2005 – 2006.
3.	Prawo autorskie i prawa pokrewne – poradnik przedsiębiorcy, Kuś I., Senda Z., PARP 2004.
4.	Ochrona własności przemysłowej w gospodarce polskiej, ORGMASZ Warszawa 2000.
5.	Ochrona Własności Przemysłowej – poradnik przedsiębiorcy, Biegański L. PARP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2025-07-07T23:14:20+02:00</dcterms:created>
  <dcterms:modified xsi:type="dcterms:W3CDTF">2025-07-07T23:14:20+02:00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