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prawa administracyjnego materialnego</w:t>
      </w:r>
    </w:p>
    <w:p>
      <w:pPr>
        <w:keepNext w:val="1"/>
        <w:spacing w:after="10"/>
      </w:pPr>
      <w:r>
        <w:rPr>
          <w:b/>
          <w:bCs/>
        </w:rPr>
        <w:t xml:space="preserve">Koordynator przedmiotu: </w:t>
      </w:r>
    </w:p>
    <w:p>
      <w:pPr>
        <w:spacing w:before="20" w:after="190"/>
      </w:pPr>
      <w:r>
        <w:rPr/>
        <w:t xml:space="preserve">dr M. Stachowiak - Kudła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A12_WEPAM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podstawowych pojęć teoretycznych w nauce prawa administracyjnego oraz organizacji i funkcjonowania administracji w Polsce.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instytucjach Unii Europejskiej, stowarzyszeniach i fundacjach oraz praca naukowa w dyscyplinie nauki prawne oraz nauki o polityce i administracji wymaga znajomości podstawowych koncepcji teoretycznych w zakresie prawa administracyjnego materialnego. 
Przedmiot ma na celu dostarczenie wiedzy oraz kształtowanie umiejętności praktycznych i kompetencji w tym zakresie. Celem przedmiotu jest zapoznanie studentów z podstawowymi segmentami prawa administracyjnego materialnego. Przybliżenie wybranych instytucji prawa administracyjnego, które są specyficzne dla danego działu prawa administracyjnego materialnego.
</w:t>
      </w:r>
    </w:p>
    <w:p>
      <w:pPr>
        <w:keepNext w:val="1"/>
        <w:spacing w:after="10"/>
      </w:pPr>
      <w:r>
        <w:rPr>
          <w:b/>
          <w:bCs/>
        </w:rPr>
        <w:t xml:space="preserve">Treści kształcenia: </w:t>
      </w:r>
    </w:p>
    <w:p>
      <w:pPr>
        <w:spacing w:before="20" w:after="190"/>
      </w:pPr>
      <w:r>
        <w:rPr/>
        <w:t xml:space="preserve">1. Administracyjnoprawna sytuacja osób fizycznych
1.1 Akta stanu cywilnego.
1.2 Zmiana imion i nazwisk.
1.3 Ewidencja ludności, dowody osobiste, paszporty.
1.4 Prawo o cudzoziemcach.
1.5	Obywatelstwo
1.6 Ordery odznaczenia odznaki.
2. Administracyjnoprawna regulacja zrzeszania się oraz niektórych innych rodzajów aktywności obywateli związanej z realizacją ich praw i wolności.
2.1 Prawo o stowarzyszeniach i ustawa o fundacjach.
2.2 Prawo o partiach politycznych.
2.3 Prawo o gwarancjach wolności sumienia i wyznania.
2.4	Prawo o zgromadzeniach.
3. Administracja spraw zdrowia, zatrudnienia i rodziny 
3.1 Administracja zdrowia
3.2 Przeciwdziałanie alkoholizmowi.
3.3 Zapobieganie narkomanii.
3.4 Sprawy zatrudnienia i bezrobocia.
3.5	Polityka prorodzinna.
4. Administracja w dziedzinie oświaty, nauki i kultury.
4.1 Prawo oświatowe i ustawa o systemie oświaty.
4.2 Prawo o szkolnictwie wyższym i nauce.
4.3 Organizacja upowszechniania kultury.
4.4 Prawna ochrona zabytków.
5. Administracyjnoprawna regulacja prowadzenia polityki rozwoju 
5.1 Ustawa z dnia 6 grudnia 2006 r. o zasadach prowadzenia polityki rozwoju.
</w:t>
      </w:r>
    </w:p>
    <w:p>
      <w:pPr>
        <w:keepNext w:val="1"/>
        <w:spacing w:after="10"/>
      </w:pPr>
      <w:r>
        <w:rPr>
          <w:b/>
          <w:bCs/>
        </w:rPr>
        <w:t xml:space="preserve">Metody oceny: </w:t>
      </w:r>
    </w:p>
    <w:p>
      <w:pPr>
        <w:spacing w:before="20" w:after="190"/>
      </w:pPr>
      <w:r>
        <w:rPr/>
        <w:t xml:space="preserve">Metody oraz sposoby weryfikacji efektów kształcenia:
1. Ocena pracy pisemnej i wykonanego badania.
2. Ocena prawidłowego rozwiązania kazusów i ćwiczeń praktycznych.
Warunki zaliczania przedmiotu: 
Przygotowanie pracy pisemnej zawierającej małe badanie naukowe - 50 %, 
Rozwiązywanie kazusów i wykonywanie ćwiczeń praktycznych – 50 %.
Wynik punktowy z kolokwium oraz pracy pisemnej sumuje się i odnosi się do maksymalnej liczby punktów możliwej do osiągnięcia. Wynik taki wyrażony w % oznacza odpowiednio oceny: 
Do 49% 2,0
50%-62% 3.0
63%-72% 3.5
73%-82% 4.0
83%-90% 4.5
91%-100%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administracyjne, M. Wierzbowski (red.) Warszawa, aktualne wydanie.
2. Z. Leoński, Materialne prawo administracyjne, Warszawa, aktualne wydanie.
3. Materialne prawo administracyjne, pod red. M. Stahl, Warszawa, aktualne wydanie.
4. Prawo administracyjne, J. Szreniawski (red.), Część szczegółowa, aktualne wydanie.
5. Literatura dotycząca problematyki związanej z wykonywanym przez studenta badaniem naukowym.
Literatura dodatkowa:
1. aktualne komentarze do poszczególnych ustaw.</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1. metody podające (wykład informacyjny, wyjaśnienie),
2. metody problemowe (metoda przypadków, dyskusja dydaktyczna),
3. metody praktyczne (pokaz, ćwiczenie przedmiotowe), 
4.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różnorodnych stosunkach prawnych z zakresu materialnego prawa administracyjnego i ich specyfice.</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keepNext w:val="1"/>
        <w:spacing w:after="10"/>
      </w:pPr>
      <w:r>
        <w:rPr>
          <w:b/>
          <w:bCs/>
        </w:rPr>
        <w:t xml:space="preserve">Charakterystyka W_02: </w:t>
      </w:r>
    </w:p>
    <w:p>
      <w:pPr/>
      <w:r>
        <w:rPr/>
        <w:t xml:space="preserve">Student zna metody i narzędzia stosowane w badaniach z zakresu materialnego prawa administracyjnego i wie, do jakich celów służą.</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 II.S.P6S_WG.1, II.S.P6S_WG.2, II.H.P6S_WG.3, I.P6S_WK, II.T.P6S_WK, II.S.P6S_WK, II.H.P6S_WK</w:t>
      </w:r>
    </w:p>
    <w:p>
      <w:pPr>
        <w:keepNext w:val="1"/>
        <w:spacing w:after="10"/>
      </w:pPr>
      <w:r>
        <w:rPr>
          <w:b/>
          <w:bCs/>
        </w:rPr>
        <w:t xml:space="preserve">Charakterystyka W_03: </w:t>
      </w:r>
    </w:p>
    <w:p>
      <w:pPr/>
      <w:r>
        <w:rPr/>
        <w:t xml:space="preserve">Student ma wiedzę o podmiotach stosunków prawnych z zakresu materialnego prawa administracyjnego oraz o zasadach nawiązywania, kształtowania, zmiany i rozwiązywania tych stosunków.</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II.S.P6S_WG.1, II.S.P6S_WG.2, II.S.P6S_WG.3, II.H.P6S_WG/K.o, I.P6S_WG, II.X.P6S_WG.2,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wykorzystać podstawową wiedzę teoretyczną i pozyskiwać informacje o obowiązujących przepisach i orzecznictwie oraz o poglądach dogmatyczno-prawnych i na ich podstawie przeprowadzić badanie naukowe z zakresu materialnego prawa administracyjnego.
 </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umie praktycznie stosować wiedzę do rozwiązywania prostych problemów z zakresu administracyjnego prawa materialnego.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poziomu swojej wiedzy i umiejętności, rozumie potrzebę ciągłego dokształcania zawodowego i rozwoju osobistego, dokonuje samooceny własnych kompetencji i doskonali umiejętności, wyznacza kierunki własnego rozwoju i kształcenia z uwzględnieniem norm materialnego prawa administracyjnego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2026-05-08T14:18:49+02:00</dcterms:created>
  <dcterms:modified xsi:type="dcterms:W3CDTF">2026-05-08T14:18:49+02:00</dcterms:modified>
</cp:coreProperties>
</file>

<file path=docProps/custom.xml><?xml version="1.0" encoding="utf-8"?>
<Properties xmlns="http://schemas.openxmlformats.org/officeDocument/2006/custom-properties" xmlns:vt="http://schemas.openxmlformats.org/officeDocument/2006/docPropsVTypes"/>
</file>