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przygotować i wygłosić w języku polskim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dotyczących transportu, a także zasięgania opinii innych osób.</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Jest gotów do wypełniania zobowiązań społecznych, inspirowania i organizowania działalności na rzecz środowiska społecznego oraz inicjowania działania na rzecz interesu publicznego m.in. z uwzględnieniem ekologicznych aspektów transportu.</w:t>
      </w:r>
    </w:p>
    <w:p>
      <w:pPr>
        <w:spacing w:before="60"/>
      </w:pPr>
      <w:r>
        <w:rPr/>
        <w:t xml:space="preserve">Weryfikacja: </w:t>
      </w:r>
    </w:p>
    <w:p>
      <w:pPr>
        <w:spacing w:before="20" w:after="190"/>
      </w:pPr>
      <w:r>
        <w:rPr/>
        <w:t xml:space="preserve">Ocena postawy podczas zajęć, udziału w dyskusji oraz poziomu prezentowanych treści.</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2026-10-20T23:36:54+02:00</dcterms:created>
  <dcterms:modified xsi:type="dcterms:W3CDTF">2026-10-20T23:36:54+02:00</dcterms:modified>
</cp:coreProperties>
</file>

<file path=docProps/custom.xml><?xml version="1.0" encoding="utf-8"?>
<Properties xmlns="http://schemas.openxmlformats.org/officeDocument/2006/custom-properties" xmlns:vt="http://schemas.openxmlformats.org/officeDocument/2006/docPropsVTypes"/>
</file>