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29 godz. spotkania seminaryjne
10 godz. przygotowanie prezentacji
1 godz. przeprowadzenie prezentacji w trakcie seminarium
w sumie 40 godz. co daje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SDI_U01: </w:t>
      </w:r>
    </w:p>
    <w:p>
      <w:pPr/>
      <w:r>
        <w:rPr/>
        <w:t xml:space="preserve">potrafi odnaleźć i właściwie wykorzystać źródła informacji, odnoszące się do obszaru problemowego referatu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SDI_U02: </w:t>
      </w:r>
    </w:p>
    <w:p>
      <w:pPr/>
      <w:r>
        <w:rPr/>
        <w:t xml:space="preserve">potrafi przygotować prezentację na temat opracowanego referatu,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SDI_K01: </w:t>
      </w:r>
    </w:p>
    <w:p>
      <w:pPr/>
      <w:r>
        <w:rPr/>
        <w:t xml:space="preserve">uczestniczy w dyskusji seminaryjnej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2025-05-11T05:09:46+02:00</dcterms:created>
  <dcterms:modified xsi:type="dcterms:W3CDTF">2025-05-11T05:09:46+02:00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