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Lidia ŁUKASIAK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20 godz. przygotowanie prezentacji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29 godz. spotkania seminaryjne
20 godz. przygotowanie prezentacji
1 godz. przeprowadzenie prezentacji w trakcie seminarium
w sumie 50 godz. co daje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tematyki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SDI_U01: </w:t>
      </w:r>
    </w:p>
    <w:p>
      <w:pPr/>
      <w:r>
        <w:rPr/>
        <w:t xml:space="preserve">potrafi odnaleźć i właściwie wykorzystać źródła informacji, odnoszące się do obszaru problemowego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SDI_U02: </w:t>
      </w:r>
    </w:p>
    <w:p>
      <w:pPr/>
      <w:r>
        <w:rPr/>
        <w:t xml:space="preserve">potrafi przygotować prezentację na zadany temat, oraz wygłosić referat korzystając z tej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wygłoszenia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SDI_K01: </w:t>
      </w:r>
    </w:p>
    <w:p>
      <w:pPr/>
      <w:r>
        <w:rPr/>
        <w:t xml:space="preserve"> uczestniczy w dyskusji seminaryjnej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2025-08-29T04:10:00+02:00</dcterms:created>
  <dcterms:modified xsi:type="dcterms:W3CDTF">2025-08-29T04:10:00+02:00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