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T1A_W01: </w:t>
      </w:r>
    </w:p>
    <w:p>
      <w:pPr/>
      <w:r>
        <w:rPr/>
        <w:t xml:space="preserve">zna podstawowe definicje i twierdzenia rachunku prawdopodobieństwa,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posiada wiedzę na temat rozkładów prawdopodobieństwa, ich własności i charakterystyk</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T1A_U08, T1A_U09: </w:t>
      </w:r>
    </w:p>
    <w:p>
      <w:pPr/>
      <w:r>
        <w:rPr/>
        <w:t xml:space="preserve">umie posługiwać się pojęciem rozkładu zmiennej losowej i wektora losowego; potrafi - na prostym poziomie - znajdować rozkłady zmiennych i wektorów losowych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umie badać niezależność zmiennych losowych, potrafi obliczać i interpretować podstawowe miary zależności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2026-10-19T12:02:24+02:00</dcterms:created>
  <dcterms:modified xsi:type="dcterms:W3CDTF">2026-10-19T12:02:24+02:00</dcterms:modified>
</cp:coreProperties>
</file>

<file path=docProps/custom.xml><?xml version="1.0" encoding="utf-8"?>
<Properties xmlns="http://schemas.openxmlformats.org/officeDocument/2006/custom-properties" xmlns:vt="http://schemas.openxmlformats.org/officeDocument/2006/docPropsVTypes"/>
</file>