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rachunku prawdopodobieństwa,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posiada wiedzę na temat rozkładów prawdopodobieństwa, ich własności i charakterystyk</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T1A_U08, T1A_U09: </w:t>
      </w:r>
    </w:p>
    <w:p>
      <w:pPr/>
      <w:r>
        <w:rPr/>
        <w:t xml:space="preserve">umie posługiwać się pojęciem rozkładu zmiennej losowej i wektora losowego; potrafi - na prostym poziomie - znajdować rozkłady zmiennych i wektorów losowych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umie badać niezależność zmiennych losowych, potrafi obliczać i interpretować podstawowe miary zależności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2026-09-27T15:52:26+02:00</dcterms:created>
  <dcterms:modified xsi:type="dcterms:W3CDTF">2026-09-27T15:52:26+02:00</dcterms:modified>
</cp:coreProperties>
</file>

<file path=docProps/custom.xml><?xml version="1.0" encoding="utf-8"?>
<Properties xmlns="http://schemas.openxmlformats.org/officeDocument/2006/custom-properties" xmlns:vt="http://schemas.openxmlformats.org/officeDocument/2006/docPropsVTypes"/>
</file>