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 zakresu teorii układów 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	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	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	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oprogramowania koniecznego do wykonania zadań.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technologii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posiada podstawową wiedzę na temat konstrukcji i działania podstawowych bramek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zna i rozumie modele sprzętu stosowane w językach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UCYFE_W04: </w:t>
      </w:r>
    </w:p>
    <w:p>
      <w:pPr/>
      <w:r>
        <w:rPr/>
        <w:t xml:space="preserve">zna i rozumie zasady konstruowania i modelowania złożonych układów cyfrowych, prawidłowo interpretuję część sterującą, ścieżkę danych oraz pamięć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UCYFE_W05: </w:t>
      </w:r>
    </w:p>
    <w:p>
      <w:pPr/>
      <w:r>
        <w:rPr/>
        <w:t xml:space="preserve">ma podstawową wiedzę na temat synchronizacji układów cyfrowych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2026-10-19T15:21:16+02:00</dcterms:created>
  <dcterms:modified xsi:type="dcterms:W3CDTF">2026-10-19T15:21:16+02:00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