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jasnego przedstawienia kryteriów i uwarunkowań rozwiązania złożonego problemu inżynierskiego lub badawczego, 
- doboru literatury i jej krytycznej analizy, 
- przygotowania prezentacji,
- wygłoszenia referatu i obrony w trakcie dyskusji zawartych w nim tez,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 oraz przygotowanie do dyskusji nad referatem
- napisanie referatu w formie artykułu
- sformatowanie artykułu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SDM2_U01: </w:t>
      </w:r>
    </w:p>
    <w:p>
      <w:pPr/>
      <w:r>
        <w:rPr/>
        <w:t xml:space="preserve">potrafi odnaleźć, właściwie dobrać i wykorzystać źródła informacji oraz przedstawić ich krytyczną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SDM2_U02: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SDM2_U03: </w:t>
      </w:r>
    </w:p>
    <w:p>
      <w:pPr/>
      <w:r>
        <w:rPr/>
        <w:t xml:space="preserve">potrafi przygotować referat w postaci artykułu,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napisany artykuł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SDM2_K01: </w:t>
      </w:r>
    </w:p>
    <w:p>
      <w:pPr/>
      <w:r>
        <w:rPr/>
        <w:t xml:space="preserve">ma 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2026-09-26T20:43:58+02:00</dcterms:created>
  <dcterms:modified xsi:type="dcterms:W3CDTF">2026-09-26T20:43:58+02:00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