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PDMGR_W01: </w:t>
      </w:r>
    </w:p>
    <w:p>
      <w:pPr/>
      <w:r>
        <w:rPr/>
        <w:t xml:space="preserve">zna podstawowe metody, techniki i narzędzia do rozwiązywania złożonych zadań inżynierskich lub zadań badawczych w wybranych zastosowaniach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PDMGR_U03: </w:t>
      </w:r>
    </w:p>
    <w:p>
      <w:pPr/>
      <w:r>
        <w:rPr/>
        <w:t xml:space="preserve">	potrafi przygotować specyfikację złożonego zadania inżynierskiego lub zadania o charakterze badawczym,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III.P7S_UW.3.o,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2026-09-04T20:24:32+02:00</dcterms:created>
  <dcterms:modified xsi:type="dcterms:W3CDTF">2026-09-04T20:24:32+02:00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