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filozoficzne i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Praca własna: 20 godz.
Udział w konsultacjach: 5 godz.
Łączny nakład pracy studenta: 55 godz., co odpowiada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HES1_W01: </w:t>
      </w:r>
    </w:p>
    <w:p>
      <w:pPr/>
      <w:r>
        <w:rPr/>
        <w:t xml:space="preserve">Wiedza niezbędna do rozumienia społecznych, ekonomicznych,
prawnych i innych pozatechnicznych uwarunkowań działalności
inżynierskiej oraz ich uwzględniania w praktyce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III.P7S_WK.o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2026-09-28T05:39:32+02:00</dcterms:created>
  <dcterms:modified xsi:type="dcterms:W3CDTF">2026-09-28T05:39:32+02:00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