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Praca własna: 20 godz.
Udział w konsultacjach: 5 godz.
Łączny nakład pracy studenta: 55 godz., co odpowiada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HES2_W01: </w:t>
      </w:r>
    </w:p>
    <w:p>
      <w:pPr/>
      <w:r>
        <w:rPr/>
        <w:t xml:space="preserve">Wiedza z zakresu podstawowych pojęć i zasad z zakresu ochrony
własności przemysłowej i prawa autorskiego, wiedza o metodach korzystania z zasobów informacji patentowej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2026-10-18T17:36:04+02:00</dcterms:created>
  <dcterms:modified xsi:type="dcterms:W3CDTF">2026-10-18T17:36:04+02:00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