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praca na ćwiczeniach audytoryjnych 18 godz., studiowanie literatury przedmiotu 16 godz., przygotowanie się do kolokwiów 15 godz., konsultacje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 w tym: praca na ćwiczeniach audytoryjnych 18 godz.,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Organizowane są 2 kolokwia - każde zawierające zwykle 2 zadania do samodzielnego rozwiązania. Wymagane jest rozwiązanie zadań na poziomie, co najmniej 51%. Warunkiem zaliczenia przedmiotu jest uzyskanie pozytywnej oceny z każdego z obu kolokwiów. Wówczas ocena końcowa jest średnią arytmetyczną uzyskanych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Nagórski Z., Sobociński R.: Wybrane zagadnienia z termodynamiki technicznej. Zbiór zadań, Oficyna Wydawnicza P.W., Warszawa 2008;
4) Praca zbiorowa pod red. Kostowskiego E.: Zbiór zadań z przepływu ciepła, Wydawnictwo Politechniki Śląskiej, Gliwice 2011;
5) Praca zbiorowa pod red. Pudlika W.: Termodynamika. Zadania i przykłady obliczeniowe, Wydawnictwo Politechniki Gdańskiej, Gdańsk 2000; 
6) Wolańczyk F.: Termodynamika. Przykłady i zadania, Oficyna Wydawnicza Politechniki Rzeszowskiej, Rzeszów 2007.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z termodynamiki przydatną przy rozwiązywaniu równań opisujących procesy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III.P6S_UW.2.o, I.P6S_UW</w:t>
      </w:r>
    </w:p>
    <w:p>
      <w:pPr>
        <w:keepNext w:val="1"/>
        <w:spacing w:after="10"/>
      </w:pPr>
      <w:r>
        <w:rPr>
          <w:b/>
          <w:bCs/>
        </w:rPr>
        <w:t xml:space="preserve">Charakterystyka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Tr1A_U21, Tr1A_U20</w:t>
      </w:r>
    </w:p>
    <w:p>
      <w:pPr>
        <w:spacing w:before="20" w:after="190"/>
      </w:pPr>
      <w:r>
        <w:rPr>
          <w:b/>
          <w:bCs/>
        </w:rPr>
        <w:t xml:space="preserve">Powiązane charakterystyki obszarowe: </w:t>
      </w:r>
      <w:r>
        <w:rPr/>
        <w:t xml:space="preserve">I.P6S_UW, III.P6S_UW.4.o,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2026-10-01T07:44:53+02:00</dcterms:created>
  <dcterms:modified xsi:type="dcterms:W3CDTF">2026-10-01T07:44:53+02:00</dcterms:modified>
</cp:coreProperties>
</file>

<file path=docProps/custom.xml><?xml version="1.0" encoding="utf-8"?>
<Properties xmlns="http://schemas.openxmlformats.org/officeDocument/2006/custom-properties" xmlns:vt="http://schemas.openxmlformats.org/officeDocument/2006/docPropsVTypes"/>
</file>