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Dwa kolokwia zawierające łącznie 5 pytań opisowych.   wymagana częściowa odpowiedź na
każde z nich, tzn. co najmniej 50%. Możliwość zaliczenia 2 kolokwium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Tr1A_U09, Tr1A_U11, Tr1A_U18</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 </w:t>
      </w:r>
    </w:p>
    <w:p>
      <w:pPr>
        <w:spacing w:before="60"/>
      </w:pPr>
      <w:r>
        <w:rPr/>
        <w:t xml:space="preserve">Weryfikacja: </w:t>
      </w:r>
    </w:p>
    <w:p>
      <w:pPr>
        <w:spacing w:before="20" w:after="190"/>
      </w:pPr>
      <w:r>
        <w:rPr/>
        <w:t xml:space="preserve">Dwa kolokwia zawierające łącznie 5 pytań opisowych, w tym co najmniej 1 pytanie dotyczące bezpośrednio treści weryfikowanego efektu. Wymagana częściowa odpowiedź na
każde z nich, tzn. co najmniej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2026-10-21T16:03:32+02:00</dcterms:created>
  <dcterms:modified xsi:type="dcterms:W3CDTF">2026-10-21T16:03:32+02:00</dcterms:modified>
</cp:coreProperties>
</file>

<file path=docProps/custom.xml><?xml version="1.0" encoding="utf-8"?>
<Properties xmlns="http://schemas.openxmlformats.org/officeDocument/2006/custom-properties" xmlns:vt="http://schemas.openxmlformats.org/officeDocument/2006/docPropsVTypes"/>
</file>