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transportem samochodowym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Tkaczyk, adiunkt,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1160-TRLTS-ISP-505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godzin, w tym: praca na wykładach 15 godz., praca na ćwiczeniach 15 godz., studiowanie literatury przedmiotu 30 godz., konsultacje 3 godz., przygotowanie się do kolokwium 27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godziny, w tym: praca na wykładach 15 godz.,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 praktycznych umiejętności w zakresie mechanizmów zakładania i funkcjonowania przedsiębiorstwa transportowego - w aspektach prawnych, organizacyjnych i ekonomicznych, a także integracja przedsiębiorstwa z otoczeniem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transportu samochodowego we współczesnej gospodarce kraju. Rynek usług transportowych – charakterystyka, funkcjonowanie, kształtowanie. Przedsiębiorstwo transportowe  jako podmiot gospodarczy. Struktury i formy organizacyjne przedsiębiorstwa transportowego. Środek trwały i amortyzacja. Źródła finansowania inwestycji w przedsiębiorstwie transportowym – kredyt, leasing, outsourcing. Usprawnienia w organizacji przedsiębiorstwa transportowego – problem odnowy taboru samochodowego. Czas pracy kierowców – zasady organizacji czasu pracy załóg kierowców.  
Ćwiczenia: Wyznaczanie czasu realizacji zadania przewozowego w relacji międzynarodowej przy uwzględnieniu obsady pojazdu załogą jedno- i dwuosobową, zgodnie z zasadami organizacji czasu pracy kierowców w przewozach międzynarodowych (konwencja AETR, Rozporządzenie WE 561/2006, Ustawa o czasie pracy kierowców, Kodeks Pracy).  Obliczenie rocznej liczby kursów realizowanych przez pojazd dla wyznaczonej relacji przewozowej,  przy uwzględnieniu ustawowego czasu pracy załóg oraz  ograniczeniach w ruchu pojazdów w dni wolne od pracy i święta. Wyznaczenie kosztu 1 wozokm realizacji zadania przewozowego.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2 sprawdziany pisemne ew. ustne dotyczące wybranych zagadnień teoretycznych (sprawdziany zawierają około 6 pytań otwartych).
Ćwiczenia: ocena formująca: weryfikacja umiejętności samodzielnego rozwiązywania wybranych problemów obliczeniowych (w tym rozwiązywanie zadań przy tablicy), ocena podsumowująca: obrona ustna wykonanego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Bąkowski W.: Strategia odnowy taboru w zarobkowej formie transportowej, Wydawnictwo PTE, Szczecin 1995. 2. Jara Z.: Kodeks spółek handlowych. Wydawnictwo CH Beck, Warszawa 2020. 3. Jendorowski H.: Rozporządzenie WE Nr 561/2006. Umowa AETR. Ustawa o czasie pracy kierowców. ZMPD, Warszawa 2007. 4. Kodeks Pracy:  Wydawnictwo CH Beck, Warszawa 2020. 5. Kowalski R.: Czas pracy kierowców Nowe przepisy. Wydawnictwo Dziennik Gazeta Prawna. Warszawa 2017.  6. Mitraszewska I. (praca zbiorowa): Organizacja i funkcjonowanie przedsiębiorstwa transportu drogowego rzeczy. Wydawnictwo ITS, Warszawa 2014. 7. Nehrebecka N., Białek-Jaworska A., Dzik-Walczak A.: Źródła finasowania przedsiębiorstw. Wydawnictwo DIFIn, 2016. Literatura uzupełniająca: 1. Figurski J: Ekonomika logistyki, WAT, Warszawa 2010.  2. Mendyk E.: Ekonomika i organizacja transportu, WSL, Poznań 2008.  3. Skowronek-Mielczarek A.: Małe i średnie przedsiębiorstwa ,źródła finansowania, CH Beck, Warszawa 2003. 4. Wybrane [aktualnie obowiązujące] akty prawne dotyczące m.in.: przepisów ruchu drogowego, dróg publicznych, dróg płatnych, transportu.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Ma podstawową wiedzę o roli transportu samochodowego we współczesnej gospodarce kraju oraz rynku usług transportowych oraz ma wiedzę o źródłach finansowania inwestycji - kredyt, leasing, outsourcing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dobrze rozumie struktury i formy organizacyjno-prawne przedsiębiorstw transportowo-spedycyjnych (podmiotów gospodarczych)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Zna i dobrze rozumie zasady organizacji czasu pracy załóg kierowców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- 3 pytanie otwarte, wymagane jest udzielenie poprawnej odpowiedzi na conajmniej 2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	: </w:t>
      </w:r>
    </w:p>
    <w:p>
      <w:pPr/>
      <w:r>
        <w:rPr/>
        <w:t xml:space="preserve">Ma wiedzę na temat usprawnień w organizacji przedsiębiorstwa transportowego – problematyka odnowy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niezbędną wiedzę związaną z możliwością założenia przedsiębiorstwa transportowego-spedycyjnego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z wykładu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dokonać analizy i oceny źródeł finansowania inwestycji – doboru formy zakupu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do analizy i oceny czasu pracy załóg kierowców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- 3 pytanie otwarte, wymagane jest udzielenie 2 poprawnych odpowiedzi oraz zaliczenie ustne wykonanego samodzielnie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dokonać analizy i oceny odnowy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2026-10-01T16:11:04+02:00</dcterms:created>
  <dcterms:modified xsi:type="dcterms:W3CDTF">2026-10-01T16:11:04+02:00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