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28 godz., przygotowanie się do egzaminu 26 godz., konsultacje 2 godz., udział w egzaminie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 udział w egzaminach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wysokiego ciśnienia, regulatory ciśnienia,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
9.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 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określających funkcjonowanie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Tr1A_U11, Tr1A_U18</w:t>
      </w:r>
    </w:p>
    <w:p>
      <w:pPr>
        <w:spacing w:before="20" w:after="190"/>
      </w:pPr>
      <w:r>
        <w:rPr>
          <w:b/>
          <w:bCs/>
        </w:rPr>
        <w:t xml:space="preserve">Powiązane charakterystyki obszarowe: </w:t>
      </w:r>
      <w:r>
        <w:rPr/>
        <w:t xml:space="preserve">III.P6S_UW.2.o, 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2026-09-30T23:43:03+02:00</dcterms:created>
  <dcterms:modified xsi:type="dcterms:W3CDTF">2026-09-30T23:43:03+02:00</dcterms:modified>
</cp:coreProperties>
</file>

<file path=docProps/custom.xml><?xml version="1.0" encoding="utf-8"?>
<Properties xmlns="http://schemas.openxmlformats.org/officeDocument/2006/custom-properties" xmlns:vt="http://schemas.openxmlformats.org/officeDocument/2006/docPropsVTypes"/>
</file>