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komputerowego do sprawdzania położenia punktu wewnątrz wielokąta. 2. Opracowanie programu komputerowego do wyznaczania otoczki wypukłej zbioru punktów. 3. Opracowanie programu do triangulacji zbioru punktów.
</w:t>
      </w:r>
    </w:p>
    <w:p>
      <w:pPr>
        <w:keepNext w:val="1"/>
        <w:spacing w:after="10"/>
      </w:pPr>
      <w:r>
        <w:rPr>
          <w:b/>
          <w:bCs/>
        </w:rPr>
        <w:t xml:space="preserve">Metody oceny: </w:t>
      </w:r>
    </w:p>
    <w:p>
      <w:pPr>
        <w:spacing w:before="20" w:after="190"/>
      </w:pPr>
      <w:r>
        <w:rPr/>
        <w:t xml:space="preserve">1. Ocenę z ćwiczeń oblicza się jako średnią arytmetyczną z ocen za programy oraz za kolokwium. Programy i kolokwium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2026-10-03T08:12:30+02:00</dcterms:created>
  <dcterms:modified xsi:type="dcterms:W3CDTF">2026-10-03T08:12:30+02:00</dcterms:modified>
</cp:coreProperties>
</file>

<file path=docProps/custom.xml><?xml version="1.0" encoding="utf-8"?>
<Properties xmlns="http://schemas.openxmlformats.org/officeDocument/2006/custom-properties" xmlns:vt="http://schemas.openxmlformats.org/officeDocument/2006/docPropsVTypes"/>
</file>