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1060-GI000-ISP-3001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GI.ISP-3001_W01: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GI.ISP-3001_U01: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T1P_U01, T1P_U06</w:t>
      </w:r>
    </w:p>
    <w:p>
      <w:pPr>
        <w:pStyle w:val="Heading3"/>
      </w:pPr>
      <w:bookmarkStart w:id="4" w:name="_Toc4"/>
      <w:r>
        <w:t>Profil praktyczny - kompetencje społeczne</w:t>
      </w:r>
      <w:bookmarkEnd w:id="4"/>
    </w:p>
    <w:p>
      <w:pPr>
        <w:keepNext w:val="1"/>
        <w:spacing w:after="10"/>
      </w:pPr>
      <w:r>
        <w:rPr>
          <w:b/>
          <w:bCs/>
        </w:rPr>
        <w:t xml:space="preserve">Efekt GI.ISP-3001_K01: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T1P_K01,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2026-09-27T22:08:47+02:00</dcterms:created>
  <dcterms:modified xsi:type="dcterms:W3CDTF">2026-09-27T22:08:47+02:00</dcterms:modified>
</cp:coreProperties>
</file>

<file path=docProps/custom.xml><?xml version="1.0" encoding="utf-8"?>
<Properties xmlns="http://schemas.openxmlformats.org/officeDocument/2006/custom-properties" xmlns:vt="http://schemas.openxmlformats.org/officeDocument/2006/docPropsVTypes"/>
</file>