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i techniki programowania  cz.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godz., w tym: a) uczestnictwo w wykładach (15 godz.), b) uczestnictwo w ćwiczeniach (30 godz.), c) udział w konsultacjach (2 godz.). 2) Praca własna studenta - 60 godz. w tym: a) przygotowanie do ćwiczeń (15 godz.), b) samodzielna praca projektowa (30 godz.), c) przygotowanie do egzaminu (15 godz.). RAZEM: 107 godz. co odpowiada 4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pkt. ECTS - liczba godzin kontaktowych - 47 godz., w tym: a) uczestnictwo w wykładach (15 godz.), b) uczestnictwo w ćwiczeniach (30 godz.), c) udział w konsultacjach (2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pkt. ECTS - 60 godz., w tym: a) uczestnictwo w ćwiczeniach (30 godz.), b) samodzielna praca projektowa (30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i techniki komputerowej, umiejętność programowania strukturalnego, znajomość podstawowych algorytmów i struktur danych wykorzystywanych w programowaniu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 obiektowym, wzorcami projektowymi oraz metodami tworzenia interfejsów graficznych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 
1. Dziedziczenie: klasy bazowe i pochodne. Możliwości identyfikacji klasy obiektu w czasie kompilacji i wykonania programu. Drzewo dziedziczenia i konwersje typów. 
2. Dziedziczenie: metody wirtualne, metody czysto wirtualne i klasy abstrakcyjne. Znaczenie destruktorów wirtualnych. 
3. Dziedziczenie, agregacja, kompozycja. Zasady stosowania poszczególnych rozwiązań. 
4. Wykorzystanie dziedziczenia, obiektów abstrakcyjnych w programowaniu elementów graficznych. 
5. Wzorce projektowe: podstawy. Wzorce czynnościowe: iterator, obserwator, odwiedzający, metoda szablonowa. 
6. Strukturalne wzorce projektowe: fasada, dekorator, adapter. 
7. Konstrukcyjne wzorce projektowe: singleton, metoda wytwórcza, fabryka abstrakcyjna. 
8. Zasady wykorzystania wzorców projektowych; adaptacja do konkretnych potrzeb. 
9. Podstawy graficznych interfejsów użytkownika: zdarzenia i ich obsługa. 
10. Typowe elementy graficznego interfejsu użytkownika i ich parametry. 
11. Separacja warstwy prezentacji oraz obsługi zdarzeń. Polecenia. 
12. Podstawy wzorca model-widok-kontroler. Przykłady realizacji wzorca MVC. 
13. Wykorzystanie wzorca MVC do tworzenia aplikacji. 
14. Automatyzacja procesu tworzenia oprogramowania: generatory kodu. Narzędzia wspomagające pracę programisty: system kontroli wersji, system ciągłej integracji. 
15. Podstawowe informacje dotyczące innych, powszechnie używanych języków programowania i środowisk programowania. 
Ćwiczenia: 
1. Prosta rodzina klas z wykorzystaniem dziedziczenia. 
2. Wykorzystanie czynnościowych wzorców projektowych w prostym programie z graficzną prezentacją wyników działania. 
3. Program wykorzystujący konstrukcyjne wzorce projektowe i hierarchię klas. 
4. Prosty program z graficznym interfejsem użytkownika. 
5. Program wykorzystujący strukturę model-widok-kontroler do obsługi dokumentów o różnej strukturze.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student może zgromadzić maksymalnie 100 punktów podzielonych na: 50 punktów z zadań programistycznych ocenianych w skali 0-10, 40 punktów za egzamin przeprowadzony w formie komputerowej oraz 10 punktów za realizację dodatkowych zadań domowych. Do zaliczenia przedmiotu trzeba uzyskać minimum 50% punktów z egzaminu (ocena z wykładu) oraz zadań programistycznych (ocena z ćwiczeń). Punkty są przeliczane na oceny wg następujących zakresów: 0-50 punktów – ocena 2, 51-60 punktów – ocena 3.0, 61-70 punktów – ocena 3.5, 71-80 punktów  - ocena 4.0, 81-90 punktów – ocena 4.5, 91-100 punktów –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Bjarne Stroustrup, Programowanie. Teoria i praktyka z wykorzystaniem C++, Helion, 2013.
2) Robert Nowak, Andrzej Pająk, Język C++ mechanizmy, wzorce, biblioteki, btc, 2013.
3) Erich Gamma, Richard Helm, Ralph Johnson, John M. Vlissides, Wzorce projektowe. Elementy oprogramowania obiektowego wielokrotnego użytku, Helion,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wykorzystywane na ćwiczeniach: zestaw kompilatorów i narzędzi GCC (MinGW), zintegrowane środowisko Eclipse CDT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1060-GI000-ISP-2008_W01: </w:t>
      </w:r>
    </w:p>
    <w:p>
      <w:pPr/>
      <w:r>
        <w:rPr/>
        <w:t xml:space="preserve">Zna zasady i mechanizmy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1060-GI000-ISP-2008_W02: </w:t>
      </w:r>
    </w:p>
    <w:p>
      <w:pPr/>
      <w:r>
        <w:rPr/>
        <w:t xml:space="preserve">Zna podstawowe wzorce projektowe i zasady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1060-GI000-ISP-2008_W03: </w:t>
      </w:r>
    </w:p>
    <w:p>
      <w:pPr/>
      <w:r>
        <w:rPr/>
        <w:t xml:space="preserve">Zna metody tworzenia graficznego interfejsu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1060-GI000-ISP-2008_W04: </w:t>
      </w:r>
    </w:p>
    <w:p>
      <w:pPr/>
      <w:r>
        <w:rPr/>
        <w:t xml:space="preserve">Ma podstawową wiedzę w zakresie automatyzacji procesu tworzenia i testowania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1060-GI000-ISP-2008_U01: </w:t>
      </w:r>
    </w:p>
    <w:p>
      <w:pPr/>
      <w:r>
        <w:rPr/>
        <w:t xml:space="preserve">Potrafi zaprojektować i napisać program w sposób obiektowy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T1P_U05,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1060-GI000-ISP-2008_U02: </w:t>
      </w:r>
    </w:p>
    <w:p>
      <w:pPr/>
      <w:r>
        <w:rPr/>
        <w:t xml:space="preserve">Potrafi zastosować wzorce projektowe we własnym programie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T1P_U05,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1060-GI000-ISP-2008_U03: </w:t>
      </w:r>
    </w:p>
    <w:p>
      <w:pPr/>
      <w:r>
        <w:rPr/>
        <w:t xml:space="preserve">Potrafi skorzystać z bibliotek i ich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K_U10,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T1P_U05, T1P_U11, T1P_U14, T1P_U17,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1060-GI000-ISP-2008_U04: </w:t>
      </w:r>
    </w:p>
    <w:p>
      <w:pPr/>
      <w:r>
        <w:rPr/>
        <w:t xml:space="preserve">Potrafi zaprojektować i napisać program z prostym graficznym interfejsem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K_U10,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T1P_U05, T1P_U11, T1P_U14, T1P_U17, T1P_U09, T1P_U14, T1P_U15, T1P_U16,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1060-GI000-ISP-2008_K01: </w:t>
      </w:r>
    </w:p>
    <w:p>
      <w:pPr/>
      <w:r>
        <w:rPr/>
        <w:t xml:space="preserve">Potrafi współpracować w zespole rozwiązując przydzielone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2026-09-27T10:16:42+02:00</dcterms:created>
  <dcterms:modified xsi:type="dcterms:W3CDTF">2026-09-27T10:16:42+02:00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