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elementami fizyki poszukiwawczej i astronomii geodeyzjnej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Kruczyk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instruktażowych - 3 h,
udział w pracach terenowych - 40 h,
wykonanie prac kameralnych - 32 h,
Razem nakład pracy studenta 75 h =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instruktażowych - 3 h,
udział w pracach terenowych - 10 h,
wykonanie prac kameralnych - 10 h,
Razem 23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pracach terenowych - 40 h,
wykonanie prac kameralnych - 32 h,
Razem 72 h, co odpowiada 2.9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GK.SIK621_U01: </w:t>
      </w:r>
    </w:p>
    <w:p>
      <w:pPr/>
      <w:r>
        <w:rPr/>
        <w:t xml:space="preserve">Potrafi zakładać punkty osnów szczegółowych metodą wielokrotnych wcięć kątowo-liniowych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kątowych i liniowych,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GK.SIK621_U02: </w:t>
      </w:r>
    </w:p>
    <w:p>
      <w:pPr/>
      <w:r>
        <w:rPr/>
        <w:t xml:space="preserve">Potrafi wyznaczać wysokości punktów metodą niwelacji trygonometrycznej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w sieci niwelacji trygonometrycznej,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GK.SIK621_U03: </w:t>
      </w:r>
    </w:p>
    <w:p>
      <w:pPr/>
      <w:r>
        <w:rPr/>
        <w:t xml:space="preserve">Potrafi zakładać osnowy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Założenie osnowy pomiarowej i jej opracowanie za pomocą programów Winkalk i Geo4ce,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GK.SIK621_U04: </w:t>
      </w:r>
    </w:p>
    <w:p>
      <w:pPr/>
      <w:r>
        <w:rPr/>
        <w:t xml:space="preserve">Potrafi wykonywać pomiary sytuacyjno-wysokościowe metodą tachimetryczną i technikami satelitarnymi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sytuacyjno-wysokościowy szczegółów z kodowaniem w terenie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GK.SIK621_U05: </w:t>
      </w:r>
    </w:p>
    <w:p>
      <w:pPr/>
      <w:r>
        <w:rPr/>
        <w:t xml:space="preserve">Potrafi wykonywac wielkoskalowe mapy numeryczne za pomocą oprogramowania GEOMAP i Geo4ce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obserwacji i mapy sytuacyjno-wysokościowej z wykorzystaniem programów,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GK.SIK621_K01: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GK.SIK621_K02: </w:t>
      </w:r>
    </w:p>
    <w:p>
      <w:pPr/>
      <w:r>
        <w:rPr/>
        <w:t xml:space="preserve">Potrafi pracowac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GK.SIK621_K03: </w:t>
      </w:r>
    </w:p>
    <w:p>
      <w:pPr/>
      <w:r>
        <w:rPr/>
        <w:t xml:space="preserve">Ma świadomość wpływu działalności inżyniera geodety na środowisko i konflikty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postępowania studenta w czasie prac pomiarowych pod kątem relacji z właścicielami nieruchomości i ochrony środowiska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2026-10-03T05:45:55+02:00</dcterms:created>
  <dcterms:modified xsi:type="dcterms:W3CDTF">2026-10-03T05:45:55+02:00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