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Ponadto na potrzeby pozyskania i ugruntowania wymaganej wiedzy, studiowania wskazanej literatury przedmiotu, przygotowania się do egzaminu przeznacza 45h. Sumaryczne obciążenie praca studenta kształtuje się na poziomie 75h.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Ponadto, celem przedmiotu jest zapoznanie studentów z uwarunkowaniami i zagrożeniami bezpieczeństwa narodowego i międzynarodowego (militarnego i pozamilitarnego), podstawami prawa wojennego i humanitarnego oraz organizacjami międzynarodowymi mającymi podstawowy wpływ na bezpieczeństwo narodowe i międzynarodowe.</w:t>
      </w:r>
    </w:p>
    <w:p>
      <w:pPr>
        <w:keepNext w:val="1"/>
        <w:spacing w:after="10"/>
      </w:pPr>
      <w:r>
        <w:rPr>
          <w:b/>
          <w:bCs/>
        </w:rPr>
        <w:t xml:space="preserve">Treści kształcenia: </w:t>
      </w:r>
    </w:p>
    <w:p>
      <w:pPr>
        <w:spacing w:before="20" w:after="190"/>
      </w:pPr>
      <w:r>
        <w:rPr/>
        <w:t xml:space="preserve">1. Zarys teorii bezpieczeństwa międzynarodowego i narodowego - Określenie bezpieczeństwa międzynarodowego i narodowego, kluczowe kategorie i zakres bezpieczeństwa, bezpieczeństwo w teoriach stosunków międzynarodowych. 
2. Uwarunkowania i kryteria bezpieczeństwa międzynarodowego i narodowego Identyfikacja i charakterystyka uwarunkowań bezpieczeństwa międzynarodowego i narodowego, kryteria i metody oceny poziomu bezpieczeństwa międzynarodowego i narodowego. 
3. Zagrożenia bezpieczeństwa narodowego i międzynarodowego - Identyfikacja i charakterystyka bezpieczeństwa międzynarodowego i narodowego.
4. Bezpieczeństwo militarne - Znaczenie bezpieczeństwa militarnego, wartości militarne państw i organizacji międzynarodowych, organizacja bezpieczeństwa militarnego, strategie bezpieczeństwa militarnego państw i organizacji międzynarodowych.
5. Bezpieczeństwo ekonomiczne, społeczne i informacyjne - Rola i znaczenie oraz czynniki bezpieczeństwa ekonomicznego, społecznego i informacyjnego; charakterystyka bezpieczeństwa ekonomicznego, społecznego i informacyjnego w wymiarze międzynarodowym i narodowym; rola i znaczenie bezpieczeństwa informacyjnego we współczesnym świecie. 
6. Międzynarodowe prawo humanitarne - Charakterystyka, rola i znaczenie Konwencji Genewskich, rola i znaczenie międzynarodowego ruchu czerwonego krzyża czerwonego półksiężyca oraz PCK, przykłady naruszeń międzynarodowego prawa humanitarnego.
7. Międzynarodowe prawo konfliktów zbrojnych, prawo wojenne - Rola, znaczenie i charakterystyka Konwencji Haskich oraz podstawowych układów i traktatów stanowiących zbiór prawa wojennego, przykłady naruszeń prawa wojennego.
8. Organizacje międzynarodowe w procesie bezpieczeństwa - Rola i znaczenie organizacji międzynarodowych - ONZ (Karta Narodów Zjednoczonych), OBWE, NATO (Traktat Północnoatlantycki) i UE (Karta Praw Podstawowych), wkład RP w międzynarodowy proces bezpieczeństwa. </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wykłady z wskazanej tematyki.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II.H.P6S_WG.1.o, I.P6S_WG, I.P6S_WK, II.T.P6S_WK, II.S.P6S_WG.1, II.T.P6S_WG, II.X.P6S_WG.2, II.S.P6S_WG.2</w:t>
      </w:r>
    </w:p>
    <w:p>
      <w:pPr>
        <w:keepNext w:val="1"/>
        <w:spacing w:after="10"/>
      </w:pPr>
      <w:r>
        <w:rPr>
          <w:b/>
          <w:bCs/>
        </w:rPr>
        <w:t xml:space="preserve">Charakterystyka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 II.T.P6S_WG, II.S.P6S_WG.1, II.T.P6S_WK,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K_U03,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K_K06, K_K09</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2026-07-29T23:33:31+02:00</dcterms:created>
  <dcterms:modified xsi:type="dcterms:W3CDTF">2026-07-29T23:33:31+02:00</dcterms:modified>
</cp:coreProperties>
</file>

<file path=docProps/custom.xml><?xml version="1.0" encoding="utf-8"?>
<Properties xmlns="http://schemas.openxmlformats.org/officeDocument/2006/custom-properties" xmlns:vt="http://schemas.openxmlformats.org/officeDocument/2006/docPropsVTypes"/>
</file>