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w:t>
      </w:r>
    </w:p>
    <w:p>
      <w:pPr>
        <w:keepNext w:val="1"/>
        <w:spacing w:after="10"/>
      </w:pPr>
      <w:r>
        <w:rPr>
          <w:b/>
          <w:bCs/>
        </w:rPr>
        <w:t xml:space="preserve">Metody oceny: </w:t>
      </w:r>
    </w:p>
    <w:p>
      <w:pPr>
        <w:spacing w:before="20" w:after="190"/>
      </w:pPr>
      <w:r>
        <w:rPr/>
        <w:t xml:space="preserve">Podczas wykładów Prowadzący wykład przekazuje każdemu studentowi projekt koncepcyjny budynku mieszkalnego jednorodzinnego, do którego zostanie wykonany przekrój w skali 1:50.
Rysunek przekroju można wykonać na kalce, papierze, papierze milimetrowym.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2026-07-30T06:56:03+02:00</dcterms:created>
  <dcterms:modified xsi:type="dcterms:W3CDTF">2026-07-30T06:56:03+02:00</dcterms:modified>
</cp:coreProperties>
</file>

<file path=docProps/custom.xml><?xml version="1.0" encoding="utf-8"?>
<Properties xmlns="http://schemas.openxmlformats.org/officeDocument/2006/custom-properties" xmlns:vt="http://schemas.openxmlformats.org/officeDocument/2006/docPropsVTypes"/>
</file>