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Marcin Karabin,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uczestnictwo w wykładach - 15 godzin
b) uczestnictwo w ćwiczeniach - 30 godzin
c) udział w konsultacjach związanych z realizacją ćwiczeń - 5 godzin
2. Praca własna studenta – 25 godzin, w tym: 
a) zapoznanie się ze wskazaną literaturą -  5 godzin,
b)  realizacja zadań projektowych w domu - 10 godzin
c) przygotowanie do zaliczenia - 10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uczestnictwo w wykładach - 15 godzin
b) uczestnictwo w ćwiczeniach - 30 godzin
c) udział w konsultacjach związanych z realizacją ćwiczeń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- 45 godzin, w tym: 
a) uczestnictwo w ćwiczeniach - 30 godzin
b) udział w konsultacjach związanych z realizacją ćwiczeń - 5 godzin
c)  realizacja zadań projektowych w domu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funkcjonowania katastru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Prawne podstawy funkcjonowania katastru oraz struktury organizacyjne w jakich funkcjonuje kataster. Katastralny podział kraju: jednostka ewidencyjna, obręb ewidencyjny, działka ewidencyjna. Pojęcia podstawowe: nieruchomość, nieruchomość gruntowa i działka ewidencyjna, nieruchomość budynkowa i budynek, nieruchomość lokalowa i samodzielny lokal mieszkalny lub o innym przeznaczeniu, działka gruntu. Zbiory informacji o gruntach, budynkach i lokalach w katastrze oraz źródła pozyskania danych, atrybuty obiektów katastralnych. Dane dotyczące podmiotów w katastrze oraz źródła danych podmiotowych w katastrze. Systematyka użytków gruntowych. Raporty obrazujące dane katastralne. Powiązania katastru z innymi rejestrami publicznymi, w tym: księgami wieczystymi, rejestrem TERYT, REGON, PESEL oraz systemem podatkowym. Wymiana informacji między rejestrami oraz zasady bieżącej aktualizacji katastru nieruchomości. 
Ćwiczenia: 
Analiza zgodności treści mapy ewidencyjnej wybranego obrębu z wymogami rozporządzenia Ministra Regionalnego i Budownictwa z dnia 29 marca 2001 w sprawie ewidencji gruntów i budynków. Badanie aktualności treści mapy ewidencyjnej w zakresie użytków gruntowych z wykorzystaniem innych źródeł informacji (ortofotomapa, mapa zasadnicza).Praktyczne korzystanie z istniejących systemów informatycznych w jakich prowadzony jest kataster (EWMAPA, EWOPIS i inne) – praca na zbiorach zawartych w komputerowych bazach danych, tworzenie wypisów i wyrysów z komputerowych baz danych katastralnych. Określanie pola powierzchni użytkowej lokalu, sporządzenie kartoteki lokalu, a także obliczenie udziału właściciela lokalu wyodrębnionego w nieruchomości wspólnej. Sporządzanie kartotek budynków. Korzystanie z systemu internetowego udostępniania informacji katastralnej.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ECTS (3) przyporządkowane są całemu przedmiotowi. Aby uzyskać ocenę łączną należy zaliczyć każdy składnik przedmiotu: wykłady i ćwiczenia laboratoryjne; Wagi ½ wykład; ½ ćwiczenia.
Ocena łączna określona na podstawie średniej arytmetycznej z zaliczenia wykładu oraz z zaliczenia ćwiczeń laboratoryjnych oraz przyporządkowania wyniku tego obliczenia do następujących przedziałów liczbowych odpowiadających ocenom: 5,0 – pięć (4,75 – 5,0) 4,5 – cztery i pół (4,25-4,74) 4,0 –cztery (3,75-4,24) 3,5-trzy i pół (3,26-3,74) 3,0-trzy (3,0-3,25)
Zaliczenie ćwiczeń polega ocenie sporządzonej przez studenta dokumentacji ćwiczeniowej wraz z rozmową na temat sposobu jej wykonania (forma obrony projektu) oraz uzyskania pozytywnych ocen ze wszystkich sprawdzianów.
Do zaliczenia wykładu wymagane jest uzyskanie pozytywnej oceny z dwóch sprawdzianów (dwa sprawdziany na ósmym i czternastym wykładzie w semestrze). Możliwa poprawa tylko jednego ze sprawdzianów na ostatnim wykładzie w semestrze.
Do zaliczenia sprawdzianu/egzaminu wymagane jest uzyskanie minimum 60% punktów.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(Dz.U. z 2019 poz. 725 z późn. zmianami),
Rozporządzenie Ministra Rozwoju Regionalnego i Budownictwa z dnia 29 marca 2001r. w sprawie ewidencji gruntów i budynków (Dz. U. z 2016r poz. 1034 z późn. zmianami),
Rozporządzenie Ministra Infrastruktury z dnia 12 kwietnia 2002r. w sprawie warunków technicznych, jakim powinny odpowiadać budynki i ich usytuowanie (Dz.U.z 2015r. poz.1422 z późn. zmianami )
Rozporządzenie Rady Ministrów z dnia 3 października 2016r. w sprawie Klasyfikacji Środków Trwałych (KŚT) (Dz.U.2016r. poz 1864),
Rozporządzenie Rady Ministrów z dnia 30 grudnia 1999r. w sprawie Polskiej Klasyfikacji Obiektów Budowlanych (PKOB) (Dz.U.1999.112.1316 z późn zmianami),
Ustawa z dnia 24 czerwca 1994 r. o własności lokali. (Dz.U.z 2018r. poz 716),
Ustawa z dnia 21 czerwca 2001 r. – o ochronie praw lokatorów, mieszkaniowym zasobie gminy  i o zmianie Kodeksu cywilnego (Dz.U.z 2018r. poz. 1234),
Ustawa z dnia 23 kwietnia 1964r. Kodeks Cywilny (Dz.U.z 2018 poz. 1025 z późn. zmianami)
Ustawa z dnia 6 lipca 1982r. o księgach wieczystych i hipotece (Dz.U.z 2018r poz.1916 z późn. zmianami),
Rozporządzenie Ministra Sprawiedliwości z dnia 15 lutego 2016r. w sprawie zakładania i prowadzenia ksiąg wieczystych w systemie teleinformatycznym (Dz.U.z 2016.poz 312 z późn. zmianami),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Artykuły dotyczące tematyki katastru nieruchomości w czasopismach branżowych: Przegląd Geodezyjny, Geodeta i inne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GP.SIK329_W1: </w:t>
      </w:r>
    </w:p>
    <w:p>
      <w:pPr/>
      <w:r>
        <w:rPr/>
        <w:t xml:space="preserve">ma wiedzę na temat podstawowych zasad funkcjonowania katastru w Polsce w ujęciu prawnym i technicznym, a także jego bieżącego prowadzenia, jako podstawowego rejestru wchodzącego w skład powiatowego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obejmujących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GP.SIK329_U1: </w:t>
      </w:r>
    </w:p>
    <w:p>
      <w:pPr/>
      <w:r>
        <w:rPr/>
        <w:t xml:space="preserve">potrafi wskazać na sposób pozyskania niezbędnych danych do założenia i aktualizacji katastru nieruchomości oraz ocenić jakość danych katastralnych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T1A_U05, T1A_U07, T1A_U10,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GP.SIK329_K1: </w:t>
      </w:r>
    </w:p>
    <w:p>
      <w:pPr/>
      <w:r>
        <w:rPr/>
        <w:t xml:space="preserve">ma świadomość ważności zadania jakim jest prowadzenie katastru nieruchomości i konieczności profesjonalnego podejścia do takiego zadania, biorąc pod uwagę skutki prawne, jakie wywołują dane zapisane w katastrze (m.in. wymiar podatku) i jednocześnie potrafi jasno przedstawić to właścicielowi nieruchomości, którego te dane dotyczą.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uzyskania kompetencji na podstawie oceny jakości dokumentacji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2025-06-28T10:52:32+02:00</dcterms:created>
  <dcterms:modified xsi:type="dcterms:W3CDTF">2025-06-28T10:52:32+02:00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