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Marta Poćwierz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ML.NK481A_W1: </w:t>
      </w:r>
    </w:p>
    <w:p>
      <w:pPr/>
      <w:r>
        <w:rPr/>
        <w:t xml:space="preserve">Zna pojęcia teorii równań różniczkowych cząstkowych: liniowego, prawie liniowegi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ML.NK481A_W2: </w:t>
      </w:r>
    </w:p>
    <w:p>
      <w:pPr/>
      <w:r>
        <w:rPr/>
        <w:t xml:space="preserve">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ML.NK481A_W3: </w:t>
      </w:r>
    </w:p>
    <w:p>
      <w:pPr/>
      <w:r>
        <w:rPr/>
        <w:t xml:space="preserve">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ML.NK481A_W4: </w:t>
      </w:r>
    </w:p>
    <w:p>
      <w:pPr/>
      <w:r>
        <w:rPr/>
        <w:t xml:space="preserve">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2026-10-01T19:50:53+02:00</dcterms:created>
  <dcterms:modified xsi:type="dcterms:W3CDTF">2026-10-01T19:50:53+02:00</dcterms:modified>
</cp:coreProperties>
</file>

<file path=docProps/custom.xml><?xml version="1.0" encoding="utf-8"?>
<Properties xmlns="http://schemas.openxmlformats.org/officeDocument/2006/custom-properties" xmlns:vt="http://schemas.openxmlformats.org/officeDocument/2006/docPropsVTypes"/>
</file>