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 godzin wykładu.
2. Praca własna studenta - studiowanie literatury, przygotowanie się do sprawdzianów - 30 godzin.
Razem - 48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ZNS521_W1: </w:t>
      </w:r>
    </w:p>
    <w:p>
      <w:pPr/>
      <w:r>
        <w:rPr/>
        <w:t xml:space="preserve">Rozumie wpływ parametrów technicznych oraz jakości paliwa i parametrów termodynamicznych czynnika roboczego na efektywność procesów cieplno-przepływowych i sprawność kotła parowego.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ZNS521_U1: </w:t>
      </w:r>
    </w:p>
    <w:p>
      <w:pPr/>
      <w:r>
        <w:rPr/>
        <w:t xml:space="preserve">Umiejętność rozwiązywania podstawowych problemów w zagadnieniach eksploatacyjnych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2026-02-27T22:47:39+01:00</dcterms:created>
  <dcterms:modified xsi:type="dcterms:W3CDTF">2026-02-27T22:47:39+01:00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