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32, w tym:
a)	wykłady - 15 godz.,
b)	ćwiczenia – 15 godz.,
c)	konsultacje – 2 godz.
2.	Praca własna studenta – 40 godzin, w tym: 
a)	 przygotowywanie się studenta do kolokwiów 20 godz.,
b)	przygotowywanie się do ćwiczeń (realizacja zadań domowych) 20 godz.
Razem - 72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	liczba godzin kontaktowych : 32, w tym:
a)	wykłady - 15 godz.,
b)	ćwiczenia – 15 godz.,
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J.Leyko: Mechanika ogólna. PWN 1978.
2. J.Leyko, J.Szmelter (red.): Zbiór zadań z mechaniki ogólnej, t I i II. PWN, Warszawa, 1983. 
3. I.W.Mieszczerski: Zbiór zadań z mechaniki. PWN, Warszawa, 1969.
4. R.Romicki: Rozwiązania zadań z mechaniki zbioru I.W.Mieszczerskiego. PWN, Warszawa, 1971. 
5. F.P. Beer, E.R. Johnston. Vector mechanics for engineers. McGraw-Hill, 1977. 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							Student ma podstawową wiedzę o siłach, momentach sił, parach sił. Wie co to jest tarcie poślizgowe i toczne, geometria mas.  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							Student ma podstawową wiedzę o siłach, momentach sił, parach sił. Wie co to jest tarcie poślizgowe i toczne, geometria mas.  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Student wie jak wykorzystać rachunek wektorowy w zagadnieniach ze statyki	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Student wie jak wykorzystać rachunek wektorowy w zagadnieniach ze statyki	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Student zna zakres stosowalności metod statyki niutonowskiej, w tym wie czym się różnią zagadnienia statycznie wyznaczalne od statycznie niewyznaczalnych.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Student zna zakres stosowalności metod statyki niutonowskiej, w tym wie czym się różnią zagadnienia statycznie wyznaczalne od statycznie niewyznaczalnych.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Student potrafi rozwiązywać proste problemy z zakresu statyki, w szczególności umie uwalniać od więzów, redukować układy sił i momentów oraz układać równania równowagi ciał obciążonych dowolnym układem sił i momentów.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Student potrafi rozwiązywać proste problemy z zakresu statyki, w szczególności umie uwalniać od więzów, redukować układy sił i momentów oraz układać równania równowagi ciał obciążonych dowolnym układem sił i momentów.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Student potrafi wykorzystać rachunek wektorowy w statyce niutonowskiej.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Student potrafi wykorzystać rachunek wektorowy w statyce niutonowskiej.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Student umie określić zakres stosowalności metod statyki niutonowskiej.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Student umie określić zakres stosowalności metod statyki niutonowskiej.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ML.NW108_K01: </w:t>
      </w:r>
    </w:p>
    <w:p>
      <w:pPr/>
      <w:r>
        <w:rPr/>
        <w:t xml:space="preserve">							Student umie komunikować się w zakresie dotyczącym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2025-07-05T14:48:46+02:00</dcterms:created>
  <dcterms:modified xsi:type="dcterms:W3CDTF">2025-07-05T14:48:46+02:00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