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 </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wybrane zagadnienia psychospołeczne, związane z przemianami społecznymi w XXI wieku</w:t>
      </w:r>
    </w:p>
    <w:p>
      <w:pPr>
        <w:spacing w:before="60"/>
      </w:pPr>
      <w:r>
        <w:rPr/>
        <w:t xml:space="preserve">Weryfikacja: </w:t>
      </w:r>
    </w:p>
    <w:p>
      <w:pPr>
        <w:spacing w:before="20" w:after="190"/>
      </w:pPr>
      <w:r>
        <w:rPr/>
        <w:t xml:space="preserve">Dyskusja, ćwiczenia dydaktyczne, kolokwium końcowe</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które mają związek z globalizacją, komunikacją międzykulturową i pokrewnymi zagadnieniami.</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I.P7S_UW, I.P7S_UK, II.X.P7S_UW.3.o,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K_K04,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Student jest świadom znaczenia nauk społecznych w opisywaniu złożoności współczesnego świata.</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2026-07-26T04:07:01+02:00</dcterms:created>
  <dcterms:modified xsi:type="dcterms:W3CDTF">2026-07-26T04:07:01+02:00</dcterms:modified>
</cp:coreProperties>
</file>

<file path=docProps/custom.xml><?xml version="1.0" encoding="utf-8"?>
<Properties xmlns="http://schemas.openxmlformats.org/officeDocument/2006/custom-properties" xmlns:vt="http://schemas.openxmlformats.org/officeDocument/2006/docPropsVTypes"/>
</file>