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przejściową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48 godz projektu.
2) Praca własna studenta – 52 godz., w tym:
a) studia literaturowe: 22 godz.
b) praca nad przygotowaniem projektu: 30 godz.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 48 godz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- 100 godzin pracy studenta, w tym: 
a) udział w ćwiczeniach projektowych - 48 godz.;
b) praca nad przygotowaniem projektu – 30 godz.
c) studia literaturowe: 22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przejściowej.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przejściowej określonym w porozumieniu z promotorem pracy. Tematyka pracy przejściowej powinna być powiązana z realizowanym kierunkiem studiów. Powinna ona dotyczyć zagadnień ogólno-inżynierskich i stwarzać możliwości wykorzystania dotychczas zdobytej wiedzy technicznej.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wykonanej pracy przejściowej.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przejściowej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1150-00000-MZP-0521_W1: </w:t>
      </w:r>
    </w:p>
    <w:p>
      <w:pPr/>
      <w:r>
        <w:rPr/>
        <w:t xml:space="preserve">Posiada wiedzę jak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InzA_W03,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1150-00000-MZP-0521_U1: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KMiBM2_U03, KMiBM2_U05, KMiBM2_U08, KMiBM2_U12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T2A_U10, T2A_U11, InzA_U01, T2A_U12, InzA_U02, InzA_U05, T2A_U09, T2A_U10, T2A_U13, InzA_U01, T2A_U18, InzA_U03</w:t>
      </w:r>
    </w:p>
    <w:p>
      <w:pPr>
        <w:keepNext w:val="1"/>
        <w:spacing w:after="10"/>
      </w:pPr>
      <w:r>
        <w:rPr>
          <w:b/>
          <w:bCs/>
        </w:rPr>
        <w:t xml:space="preserve">Efekt 1150-00000-MZP-0521_U2: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T2A_U16, InzA_U03, InzA_U04, InzA_U05, InzA_U06,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1150-00000-MZP-0521_U3: </w:t>
      </w:r>
    </w:p>
    <w:p>
      <w:pPr/>
      <w:r>
        <w:rPr/>
        <w:t xml:space="preserve">Potrafi pozyskiwać dane z literatury i baz danych; potrafi ocenić działanie zasad i praw dotyczących ochrony własności intelektualnej oraz 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KMiBM2_U14, KMiBM2_U15, KMiBM_U17, KMiBM2_U18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T2A_U19, T2A_U01, T2A_U03, T2A_U04, T2A_U02, T2A_U03, T2A_U06,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1150-00000-MZP-0521_K1: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2025-07-04T23:38:10+02:00</dcterms:created>
  <dcterms:modified xsi:type="dcterms:W3CDTF">2025-07-04T23:38:10+02:00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