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1050-00000-MSP-0507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 w tym:
a) wykład - 45 godz.;
b) konsultacje - 1 godz.;
2) Praca własna studenta – 55 godzin, w tym:
a) studia literaturowe: 15 godz.
b)- przygotowanie do zajęć: 20 godz. 
c)- przygotowanie do kolokwium: 30 godz.
3) RAZEM – 111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46 godz., w tym:
a) wykład - 45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Ocena wynika z sumy zgromadzonych punktów:
1) 12 krótkich sprawdzianów wiedzy i umiejętności z poprzedniego tygodnia: 12 x 3 pkt = 36 pkt. (fakultatywnie – tzn. punkty z kartkówek są traktowane jako punkty dodatkowe)
2) kolokwia połówkowe 1 i 2: 2 x 36 pkt = 72 pkt (zaliczenie obowiązkowe)
3) samodzielne opracowanie tematu i wygłoszenie krótkiego referatu (fakultatywnie): 15 pkt
Razem maksymalnie: 132 pkt. 
Zaliczenie od 51 pkt, 61-70 pkt ocena 3,5; 71-80 pkt ocena 4,0; 81-90 pkt ocena 4,5; powyżej 90 pkt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1050-00000-MSP-0507_W01: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 KMiBM2_W03</w:t>
      </w:r>
    </w:p>
    <w:p>
      <w:pPr>
        <w:spacing w:before="20" w:after="190"/>
      </w:pPr>
      <w:r>
        <w:rPr>
          <w:b/>
          <w:bCs/>
        </w:rPr>
        <w:t xml:space="preserve">Powiązane efekty obszarowe: </w:t>
      </w:r>
      <w:r>
        <w:rPr/>
        <w:t xml:space="preserve">T2A_W01, T1A_W01</w:t>
      </w:r>
    </w:p>
    <w:p>
      <w:pPr>
        <w:keepNext w:val="1"/>
        <w:spacing w:after="10"/>
      </w:pPr>
      <w:r>
        <w:rPr>
          <w:b/>
          <w:bCs/>
        </w:rPr>
        <w:t xml:space="preserve">Efekt 1050-00000-MSP-0507_W05: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 KMiBM2_W03</w:t>
      </w:r>
    </w:p>
    <w:p>
      <w:pPr>
        <w:spacing w:before="20" w:after="190"/>
      </w:pPr>
      <w:r>
        <w:rPr>
          <w:b/>
          <w:bCs/>
        </w:rPr>
        <w:t xml:space="preserve">Powiązane efekty obszarowe: </w:t>
      </w:r>
      <w:r>
        <w:rPr/>
        <w:t xml:space="preserve">T2A_W01, T1A_W01</w:t>
      </w:r>
    </w:p>
    <w:p>
      <w:pPr>
        <w:pStyle w:val="Heading3"/>
      </w:pPr>
      <w:bookmarkStart w:id="3" w:name="_Toc3"/>
      <w:r>
        <w:t>Profil ogólnoakademicki - umiejętności</w:t>
      </w:r>
      <w:bookmarkEnd w:id="3"/>
    </w:p>
    <w:p>
      <w:pPr>
        <w:keepNext w:val="1"/>
        <w:spacing w:after="10"/>
      </w:pPr>
      <w:r>
        <w:rPr>
          <w:b/>
          <w:bCs/>
        </w:rPr>
        <w:t xml:space="preserve">Efekt 1050-00000-MSP-0507_U01: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efekty kierunkowe: </w:t>
      </w:r>
      <w:r>
        <w:rPr/>
        <w:t xml:space="preserve">KMiBM2_U01</w:t>
      </w:r>
    </w:p>
    <w:p>
      <w:pPr>
        <w:spacing w:before="20" w:after="190"/>
      </w:pPr>
      <w:r>
        <w:rPr>
          <w:b/>
          <w:bCs/>
        </w:rPr>
        <w:t xml:space="preserve">Powiązane efekty obszarowe: </w:t>
      </w:r>
      <w:r>
        <w:rPr/>
        <w:t xml:space="preserve">T2A_U08, T2A_U09, InzA_U02</w:t>
      </w:r>
    </w:p>
    <w:p>
      <w:pPr>
        <w:keepNext w:val="1"/>
        <w:spacing w:after="10"/>
      </w:pPr>
      <w:r>
        <w:rPr>
          <w:b/>
          <w:bCs/>
        </w:rPr>
        <w:t xml:space="preserve">Efekt 1050-00000-MSP-0507_U02: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KMiBM2_U15, KMiBM_U17</w:t>
      </w:r>
    </w:p>
    <w:p>
      <w:pPr>
        <w:spacing w:before="20" w:after="190"/>
      </w:pPr>
      <w:r>
        <w:rPr>
          <w:b/>
          <w:bCs/>
        </w:rPr>
        <w:t xml:space="preserve">Powiązane efekty obszarowe: </w:t>
      </w:r>
      <w:r>
        <w:rPr/>
        <w:t xml:space="preserve">T2A_U01, 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2026-07-08T11:27:55+02:00</dcterms:created>
  <dcterms:modified xsi:type="dcterms:W3CDTF">2026-07-08T11:27:55+02:00</dcterms:modified>
</cp:coreProperties>
</file>

<file path=docProps/custom.xml><?xml version="1.0" encoding="utf-8"?>
<Properties xmlns="http://schemas.openxmlformats.org/officeDocument/2006/custom-properties" xmlns:vt="http://schemas.openxmlformats.org/officeDocument/2006/docPropsVTypes"/>
</file>