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1150-MBMRC-ISP-0409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laboratorium - 15 godz.
2) Praca własna studenta - 45 godz, w tym 
a)	10 godz. – przygotowywanie się do ćwiczeń laboratoryjnych,
b)	10 godz. – studia literaturowe,
c)	15 godz. – opracowanie wyników, przygotowanie sprawozdań,
d)	10 godz. - przygotowywanie się do sprawdzianów, kolokwiów.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- 30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- 45 godz., w tym:
1)	15 godz. - ćwiczenia laboratoryjne,
2)	10 godz. – przygotowywanie się do ćwiczeń laboratoryjnych,
3)	15 godz. – opracowanie wyników, przygotowanie sprawozdań,
4)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Badania własności układów cięgnowych.
Dynamika układów podnoszenia dźwigów elektrycznych.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http://www.simr.pw.edu.pl/imrc/Instytut-Maszyn-Roboczych-Ciezkich/Dydaktyka/Przedmioty-obowiazkowe/Dzwigi-osobowe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1150-MBMRC-ISP-0409_U1: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1150-MBMRC-ISP-0409_U2: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1150-MBMRC-ISP-0409_U3: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1150-MBMRC-ISP-0409_U4: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T1A_U07, T1A_U08, InzA_U01, T1A_U08, T1A_U09, T1A_U10, T1A_U08, T1A_U09, T1A_U15, T1A_U16, T1A_U12, T1A_U16, InzA_U04, T1A_U16, InzA_U08, T1A_U07, T1A_U09, InzA_U08, T1A_U15, InzA_U05</w:t>
      </w:r>
    </w:p>
    <w:p>
      <w:pPr>
        <w:keepNext w:val="1"/>
        <w:spacing w:after="10"/>
      </w:pPr>
      <w:r>
        <w:rPr>
          <w:b/>
          <w:bCs/>
        </w:rPr>
        <w:t xml:space="preserve">Efekt 1150-MBMRC-ISP-0409_U5: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1150-MBMRC-ISP-0409_K1: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2026-10-21T16:01:08+02:00</dcterms:created>
  <dcterms:modified xsi:type="dcterms:W3CDTF">2026-10-21T16:01:08+02:00</dcterms:modified>
</cp:coreProperties>
</file>

<file path=docProps/custom.xml><?xml version="1.0" encoding="utf-8"?>
<Properties xmlns="http://schemas.openxmlformats.org/officeDocument/2006/custom-properties" xmlns:vt="http://schemas.openxmlformats.org/officeDocument/2006/docPropsVTypes"/>
</file>