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1150-MBMRC-ISP-0409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laboratorium - 15 godz.
2) Praca własna studenta - 45 godz, w tym 
a)	10 godz. – przygotowywanie się do ćwiczeń laboratoryjnych,
b)	10 godz. – studia literaturowe,
c)	15 godz. – opracowanie wyników, przygotowanie sprawozdań,
d)	10 godz. - przygotowywanie się do sprawdzianów, kolokwiów.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- 30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- 45 godz., w tym:
1)	15 godz. - ćwiczenia laboratoryjne,
2)	10 godz. – przygotowywanie się do ćwiczeń laboratoryjnych,
3)	15 godz. – opracowanie wyników, przygotowanie sprawozdań,
4)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http://www.simr.pw.edu.pl/imrc/Instytut-Maszyn-Roboczych-Ciezkich/Dydaktyka/Przedmioty-obowiazkowe/Dzwigi-osobowe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1150-MBMRC-ISP-0409_U1: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1150-MBMRC-ISP-0409_U2: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1150-MBMRC-ISP-0409_U3: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1150-MBMRC-ISP-0409_U4: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T1A_U07, T1A_U08, InzA_U01, T1A_U08, T1A_U09, T1A_U10, T1A_U08, T1A_U09, T1A_U15, T1A_U16, T1A_U12, T1A_U16, InzA_U04, T1A_U16, InzA_U08, T1A_U07, T1A_U09, InzA_U08, T1A_U15, InzA_U05</w:t>
      </w:r>
    </w:p>
    <w:p>
      <w:pPr>
        <w:keepNext w:val="1"/>
        <w:spacing w:after="10"/>
      </w:pPr>
      <w:r>
        <w:rPr>
          <w:b/>
          <w:bCs/>
        </w:rPr>
        <w:t xml:space="preserve">Efekt 1150-MBMRC-ISP-0409_U5: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1150-MBMRC-ISP-0409_K1: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2026-09-30T18:08:56+02:00</dcterms:created>
  <dcterms:modified xsi:type="dcterms:W3CDTF">2026-09-30T18:08:56+02:00</dcterms:modified>
</cp:coreProperties>
</file>

<file path=docProps/custom.xml><?xml version="1.0" encoding="utf-8"?>
<Properties xmlns="http://schemas.openxmlformats.org/officeDocument/2006/custom-properties" xmlns:vt="http://schemas.openxmlformats.org/officeDocument/2006/docPropsVTypes"/>
</file>