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1150-MT00-ISP-0206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T1A_W01, T1A_W02</w:t>
      </w:r>
    </w:p>
    <w:p>
      <w:pPr>
        <w:keepNext w:val="1"/>
        <w:spacing w:after="10"/>
      </w:pPr>
      <w:r>
        <w:rPr>
          <w:b/>
          <w:bCs/>
        </w:rPr>
        <w:t xml:space="preserve">Efekt 1150-MT00-ISP-0206_W02: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T1A_W01, T1A_W02</w:t>
      </w:r>
    </w:p>
    <w:p>
      <w:pPr>
        <w:keepNext w:val="1"/>
        <w:spacing w:after="10"/>
      </w:pPr>
      <w:r>
        <w:rPr>
          <w:b/>
          <w:bCs/>
        </w:rPr>
        <w:t xml:space="preserve">Efekt 1150-MT00-ISP-0206_W03: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1150-MT00-ISP-0206_U01: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1150-MT00-ISP-0206_U02: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2026-10-01T06:33:05+02:00</dcterms:created>
  <dcterms:modified xsi:type="dcterms:W3CDTF">2026-10-01T06:33:05+02:00</dcterms:modified>
</cp:coreProperties>
</file>

<file path=docProps/custom.xml><?xml version="1.0" encoding="utf-8"?>
<Properties xmlns="http://schemas.openxmlformats.org/officeDocument/2006/custom-properties" xmlns:vt="http://schemas.openxmlformats.org/officeDocument/2006/docPropsVTypes"/>
</file>