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1150-MBKCI-ISP- 0404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•	wykład - 30 godz.;
•	konsultacje – 1 godz.
2) Praca własna studenta – 40 godz., w tym:  
•	studia literaturowe: 5 godz.
•	przygotowanie do zajęć: 15 godz.
•	przygotowanie do sprawdzianów i egzaminu: 30 godz.
3) RAZEM – 81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trzy sprawdziany, 
Egzamin  ustny lub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1150-MBKCI-ISP- 0404_W1: </w:t>
      </w:r>
    </w:p>
    <w:p>
      <w:pPr/>
      <w:r>
        <w:rPr/>
        <w:t xml:space="preserve">Zna cechy charakterystyczne podstawowych metod numerycznych stosowanych w analizach struktur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1150-MBKCI-ISP- 0404_W4: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1150-MBKCI-ISP- 0404_U1: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T1A_U10, T1A_U05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1150-MBKCI-ISP- 0404_U3: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1150-MBKCI-ISP- 0404_K1: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2026-09-30T19:46:44+02:00</dcterms:created>
  <dcterms:modified xsi:type="dcterms:W3CDTF">2026-09-30T19:46:44+02:00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