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nzw.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150-MBPOJ-ISP-0405</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 30 godz.;
b) konsultacje – 1 godz.;
2) Praca własna studenta -  20 godzin, w tym:
a)	 5 godz. – bieżące przygotowywanie się studenta do wykładu;
b)	 5 godz. – studia literaturowe;
c)	 10 godz. – przygotowywanie się studenta do kolokwiów;
3) RAZEM – 51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 30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Wykład: 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150-MBPOJ-ISP-0405_K_W1: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KMiBM_W14</w:t>
      </w:r>
    </w:p>
    <w:p>
      <w:pPr>
        <w:spacing w:before="20" w:after="190"/>
      </w:pPr>
      <w:r>
        <w:rPr>
          <w:b/>
          <w:bCs/>
        </w:rPr>
        <w:t xml:space="preserve">Powiązane efekty obszarowe: </w:t>
      </w:r>
      <w:r>
        <w:rPr/>
        <w:t xml:space="preserve">T1A_W04, T1A_W05, InzA_W02</w:t>
      </w:r>
    </w:p>
    <w:p>
      <w:pPr>
        <w:keepNext w:val="1"/>
        <w:spacing w:after="10"/>
      </w:pPr>
      <w:r>
        <w:rPr>
          <w:b/>
          <w:bCs/>
        </w:rPr>
        <w:t xml:space="preserve">Efekt 150-MBPOJ-ISP-0405_K_W2: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w:t>
      </w:r>
    </w:p>
    <w:p>
      <w:pPr>
        <w:spacing w:before="20" w:after="190"/>
      </w:pPr>
      <w:r>
        <w:rPr>
          <w:b/>
          <w:bCs/>
        </w:rPr>
        <w:t xml:space="preserve">Powiązane efekty kierunkowe: </w:t>
      </w:r>
      <w:r>
        <w:rPr/>
        <w:t xml:space="preserve">KMiBM_W17</w:t>
      </w:r>
    </w:p>
    <w:p>
      <w:pPr>
        <w:spacing w:before="20" w:after="190"/>
      </w:pPr>
      <w:r>
        <w:rPr>
          <w:b/>
          <w:bCs/>
        </w:rPr>
        <w:t xml:space="preserve">Powiązane efekty obszarowe: </w:t>
      </w:r>
      <w:r>
        <w:rPr/>
        <w:t xml:space="preserve">T1A_W02, T1A_W03, T1A_W06, InzA_W02, InzA_W05</w:t>
      </w:r>
    </w:p>
    <w:p>
      <w:pPr>
        <w:keepNext w:val="1"/>
        <w:spacing w:after="10"/>
      </w:pPr>
      <w:r>
        <w:rPr>
          <w:b/>
          <w:bCs/>
        </w:rPr>
        <w:t xml:space="preserve">Efekt 150-MBPOJ-ISP-0405_K_W3: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150-MBPOJ-ISP-0405_K_U1: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KMiBM_U08</w:t>
      </w:r>
    </w:p>
    <w:p>
      <w:pPr>
        <w:spacing w:before="20" w:after="190"/>
      </w:pPr>
      <w:r>
        <w:rPr>
          <w:b/>
          <w:bCs/>
        </w:rPr>
        <w:t xml:space="preserve">Powiązane efekty obszarowe: </w:t>
      </w:r>
      <w:r>
        <w:rPr/>
        <w:t xml:space="preserve">T1A_U10, T1A_U15, T1A_U16, InzA_U03, InzA_U04, InzA_U07, InzA_U08</w:t>
      </w:r>
    </w:p>
    <w:p>
      <w:pPr>
        <w:keepNext w:val="1"/>
        <w:spacing w:after="10"/>
      </w:pPr>
      <w:r>
        <w:rPr>
          <w:b/>
          <w:bCs/>
        </w:rPr>
        <w:t xml:space="preserve">Efekt 150-MBPOJ-ISP-0405_K_U2: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KMiBM_U09</w:t>
      </w:r>
    </w:p>
    <w:p>
      <w:pPr>
        <w:spacing w:before="20" w:after="190"/>
      </w:pPr>
      <w:r>
        <w:rPr>
          <w:b/>
          <w:bCs/>
        </w:rPr>
        <w:t xml:space="preserve">Powiązane efekty obszarowe: </w:t>
      </w:r>
      <w:r>
        <w:rPr/>
        <w:t xml:space="preserve">T1A_U13, T1A_U14, InzA_U03, InzA_U04, InzA_U07, InzA_U08</w:t>
      </w:r>
    </w:p>
    <w:p>
      <w:pPr>
        <w:pStyle w:val="Heading3"/>
      </w:pPr>
      <w:bookmarkStart w:id="4" w:name="_Toc4"/>
      <w:r>
        <w:t>Profil ogólnoakademicki - kompetencje społeczne</w:t>
      </w:r>
      <w:bookmarkEnd w:id="4"/>
    </w:p>
    <w:p>
      <w:pPr>
        <w:keepNext w:val="1"/>
        <w:spacing w:after="10"/>
      </w:pPr>
      <w:r>
        <w:rPr>
          <w:b/>
          <w:bCs/>
        </w:rPr>
        <w:t xml:space="preserve">Efekt 150-MBPOJ-ISP-0405_K_K1: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2026-10-21T14:37:20+02:00</dcterms:created>
  <dcterms:modified xsi:type="dcterms:W3CDTF">2026-10-21T14:37:20+02:00</dcterms:modified>
</cp:coreProperties>
</file>

<file path=docProps/custom.xml><?xml version="1.0" encoding="utf-8"?>
<Properties xmlns="http://schemas.openxmlformats.org/officeDocument/2006/custom-properties" xmlns:vt="http://schemas.openxmlformats.org/officeDocument/2006/docPropsVTypes"/>
</file>