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1150-MBNPO-ISP-0323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kolokwium – 2 godz.;
2) Praca własna studenta – w tym:  55 godzin, w tym:
a)	 10 godz. – bieżące przygotowywanie się studenta do wykładu;
b)	 10 godz. – studia literaturowe;
c)	 10 godz. – przygotowywanie się studenta do kolokwium;
d)	 15 godz. – przygotowywanie się studenta do ćwiczeń;
e)	 10 godz. – wykonanie prac domowych.
3) RAZEM – 113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- 48, w tym:
a) wykład – 30 godz.;
b) laboratorium – 15 godz.;
c) konsultacje – 1 godz.;
d) kolokwium – 2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podstaw konstrukcji maszyn i materiałów konstrukcyjnych (wysłuchanie wykładów: PKM i Materiały konstrukcyjne)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projektowania nadwozi pojazdów z wykorzystanie nowoczesnych materiałów konstrukcyjnych. Umiejętność doboru materiałów konstrukcyjnych i technologii produkcji do przewidywanej skali produkcji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Podstawowe definicje i klasyfikacja nadwozi. Przepisy międzynarodowe, normy i badania dotyczące nadwozi pojazdów samochodowych. Aspekty ekonomiczne budowy nadwozi pojazdów samochodowych. Ergonomia i stawiane wymagania względem przeznaczenia pojazdu. Upakowanie - rozplanowanie i założenia wymiarowe nadwozia. Zagadnienia aerodynamiki w projektowaniu nadwozia pojazdu. Zapewnienie komfortu i bezpieczeństwa biernego kierowcy i pasażerom pojazdu. Budowa struktur nośnych nadwozi pojazdów. Funkcje elementów wyposażenia wewnętrznego. Główne cechy nadwozi samonośnych. Materiały konstrukcyjne do budowy nadwozi pojazdów. Technologie stosowane w budowie nadwozi.
Laboratorium. Prasy i tłoczniki do kształtowania elementów nadwozia. Sposoby łączenia elementów nadwozi. Lakierowanie nadwozi. Metody przetwórstwa termoplastów. Rodzaje przetwórstwa duroplastów..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Zaliczany jest na podstawie pisemnego kolokwium zaliczeniowego.
Laboratorium: Przed rozpoczęciem ćwiczenia sprawdzane jest przygotowanie studentów (tzw. „wejściówka”). Każde ćwiczenie jest zaliczane na podstawie poprawnie wykonanego zadania, przyjętego i ocenionego przez prowadzącego dane ćwiczenie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Pawłowski J.: Nadwozia Samochodowe. Funkcja użytkowa i struktura nośna. WKiŁ 1978.
2.	Gierej J.: Internetowe materiały wykładowe dot. budowy nadwozi – Poradnik.
3.	Zieliński A.: Konstrukcja nadwozi samochodów osobowych i pochodnych. WKŁ 2008.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www.edag.pl/pl/praca-i-kariera/materialy-szkoleniowe.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1150-MBNPO-ISP-0323_W1: </w:t>
      </w:r>
    </w:p>
    <w:p>
      <w:pPr/>
      <w:r>
        <w:rPr/>
        <w:t xml:space="preserve">Ma podbudowaną teoretycznie wiedzę dotyczącą konstrukcji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1150-MBNPO-ISP-0323_W2: </w:t>
      </w:r>
    </w:p>
    <w:p>
      <w:pPr/>
      <w:r>
        <w:rPr/>
        <w:t xml:space="preserve">Ma uporządkowaną wiedzę dotyczącą budowy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</w:t>
      </w:r>
    </w:p>
    <w:p>
      <w:pPr>
        <w:keepNext w:val="1"/>
        <w:spacing w:after="10"/>
      </w:pPr>
      <w:r>
        <w:rPr>
          <w:b/>
          <w:bCs/>
        </w:rPr>
        <w:t xml:space="preserve">Efekt 1150-MBNPO-ISP-0323_W3: </w:t>
      </w:r>
    </w:p>
    <w:p>
      <w:pPr/>
      <w:r>
        <w:rPr/>
        <w:t xml:space="preserve">Posiada wiedzę o konstrukcji współczesnych nadwozi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1150-MBNPO-ISP-0323_W4: </w:t>
      </w:r>
    </w:p>
    <w:p>
      <w:pPr/>
      <w:r>
        <w:rPr/>
        <w:t xml:space="preserve">Zna podstawowe etapy i techniki wytwarzania nadwozi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1150-MBNPO-ISP-0323_W5: </w:t>
      </w:r>
    </w:p>
    <w:p>
      <w:pPr/>
      <w:r>
        <w:rPr/>
        <w:t xml:space="preserve">Posiada wiedzę nt. zasad planowania budowy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KMiBM_W14, KMiBM_W17, KMiBM_W18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InzA_W02, T1A_W02, T1A_W03, T1A_W06, InzA_W02, InzA_W05, 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1150-MBNPO-ISP-0323_U1: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1150-MBNPO-ISP-0323_U2: </w:t>
      </w:r>
    </w:p>
    <w:p>
      <w:pPr/>
      <w:r>
        <w:rPr/>
        <w:t xml:space="preserve">Potrafi  ocenić wpływ założeń konstrukcyjnych struktury na klasę i rodzaj nadwozia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1150-MBNPO-ISP-0323_U3: </w:t>
      </w:r>
    </w:p>
    <w:p>
      <w:pPr/>
      <w:r>
        <w:rPr/>
        <w:t xml:space="preserve">Ma świadomość przyjętych wstępnych założeń konstrukcyjnych nadwozia na klasę i rodzaj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1150-MBNPO-ISP-0323_U4: </w:t>
      </w:r>
    </w:p>
    <w:p>
      <w:pPr/>
      <w:r>
        <w:rPr/>
        <w:t xml:space="preserve">Potrafi zaplanować budowę nadwozia pojazdu z wyznaczeniem głównych założeń pojazdu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ustny sprawdzian przed dopuszczeniem do wykonywania ćwiczeń, 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1150-MBNPO-ISP-0323_K1: </w:t>
      </w:r>
    </w:p>
    <w:p>
      <w:pPr/>
      <w:r>
        <w:rPr/>
        <w:t xml:space="preserve">Potrafi współdziałać i pracować w grupie przy realizacji ćwiczeń laboratoryjnych,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2026-10-21T01:28:06+02:00</dcterms:created>
  <dcterms:modified xsi:type="dcterms:W3CDTF">2026-10-21T01:28:06+02:00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