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Robert Zalewski,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 w tym:
a) projekt – 45 godz.;
b) konsultacje – 5 godz.;
2) Praca własna studenta – 25 godz. w tym:
a) bieżące przygotowanie studenta do zajęć – 20 godz.,
b) studia literaturowe – 5 godz.,
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– 50 godz., w tym:
a) projekt – 45 godz.;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–  45 godz., w tym:
a) zajęcia projektowe – 45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wykładzie Podstaw Zapisu Konstrukcji.
Podstawowe umiejętności z zakresu Geometrii Wykreślnej. 
Podstawowa znajomość maszyn do obróbki skrawaniem i metod obróbki skrawaniem przedstawiona na Zajęcia warsztatowych.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Odręczne wykonanie (na papierze gładkim, ołówkiem) czterech szkiców na podstawie otrzymanych części maszynowych –tematy indywidualne,
Odwzorowanie w rzutach prostokątnych (na brystolu) i zwymiarowanie  podstawy łożyska ślizgowego –wykonanie tuszem w domu.
Wykonanie rysunków (na brystolu) na podstawie wcześniej wykonanych szkiców – dokończenie  tuszem lub ołówkiem w domu. 
Wykonanie (na brystolu, ołówkiem) rysunku aksonometrycznego (izometria) na podstawie wykonanego wcześniej rysunku wykonanego w rzutach prostokątnych.
Wykonanie ( na brystolu) rysunku śruby i nakrętki –tematy indywidualne.
Wykonanie (na brystolu) rysunku sprężyny –tematy indywidualne.
Wykonanie (na brystolu) rysunku koła zębatego walcowego – tematy indywidualne  - dokończenie tuszem w domu.
Wykonanie (na brystolu) rysunku koła zębatego stożkowego – tematy indywidualne - dokończenie tuszem w domu.
Wykonanie rysunku złożeniowego, rysunków wykonawczych i specyfikacji części prostego zespołu maszynowego (na kalce technicznej wykonanie tuszem).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projektowania jest uzyskanie pozytywnych ocen ze wszystkich wykonywanych prac, które są na bieżąco konsultowane, sprawdzane, poprawiane  i oceniane na każdych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Bajkowski: Podstawy zapisu konstrukcji. Warszawa: OWPW 2014.
2. T. Dobrzański: Rysunek techniczny maszynowy. Warszawa: WNT 2004.
3. J. Bajkowski: Rysunek techniczny –materiały do ćwiczeń projektowych.
4. J. Bajkowski, J. Bartkiewicz, J. Kozdra: Zbiór zadań z rysunku technicznego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1150-MB000-ISP-0117_W1: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odwrotnie; potrafi  odwzorowywać elementy maszyn w postaci widoków oraz widoków cząstkowych, przekrojów oraz przekrojów cząstkowych, kładów widoków i kładów miejscowych i wyniesionych przekrojów, zna znormalizowane zasady kreskowania przekrojów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1150-MB000-ISP-0117_W2: </w:t>
      </w:r>
    </w:p>
    <w:p>
      <w:pPr/>
      <w:r>
        <w:rPr/>
        <w:t xml:space="preserve">Zna i stosuje w praktyce porządkowe ogólne i szczególne zasady wymiarowania elementów maszyn i konstrukcji; zna podstawowe pojęcia dotyczące określania stanu struktury powierzchni materiału; zna pojęcie tolerancji wymiarów i pasowania części  i umie stosować je do wymiarowania przedmiotów.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1150-MB000-ISP-0117_W3: </w:t>
      </w:r>
    </w:p>
    <w:p>
      <w:pPr/>
      <w:r>
        <w:rPr/>
        <w:t xml:space="preserve">Ma wiedzę dotyczącą przedstawiania i wymiarowania łączników i połączeń rozłącznych (połączeń gwintowych, sworzniowych, wpustowych i innych).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1150-MB000-ISP-0106_W4: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1150-MB000-ISP-0117_U1: </w:t>
      </w:r>
    </w:p>
    <w:p>
      <w:pPr/>
      <w:r>
        <w:rPr/>
        <w:t xml:space="preserve">Zna i 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zna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1150-MB000-ISP-0117_U2: </w:t>
      </w:r>
    </w:p>
    <w:p>
      <w:pPr/>
      <w:r>
        <w:rPr/>
        <w:t xml:space="preserve">Ma praktyczną umiejętność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1150-MB000-ISP-0117_U3: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1150-MB000-ISP-0117_U4: </w:t>
      </w:r>
    </w:p>
    <w:p>
      <w:pPr/>
      <w:r>
        <w:rPr/>
        <w:t xml:space="preserve">Zna etapy tworzenia złożonej dokumentacji technicznej części, podzespołów, zespołów, i gotowych wyrobów, zasady wykonywania rysunków złożeniowych, oznaczania części na tych rysunkach, zasady tworzenia specyfikacji części oraz archiwizacji i gospodarki dokumentacją techniczną i umie je 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1150-MB000-ISP-0117_U5: </w:t>
      </w:r>
    </w:p>
    <w:p>
      <w:pPr/>
      <w:r>
        <w:rPr/>
        <w:t xml:space="preserve">Dobrze posługuje się specjalistyczną literaturą, potrafi posługiwać się normami przedmiotowymi, dobrze interpretuje zawarte w nich wytyczne; potrafi dobrze interpretować normy techniczne bez względu na to czy są sporządzone w języku obcym, uznawanym za język komunikacji międzynarodowej w zakresie studiowanego kierunku studiów.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1150-MB000-ISP-0117_U6: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1150-MB000-ISP-0106_K1: </w:t>
      </w:r>
    </w:p>
    <w:p>
      <w:pPr/>
      <w:r>
        <w:rPr/>
        <w:t xml:space="preserve">Potrafi pracować samodzielnie, ma świadomość odpowiedzialności za pracę,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2026-09-30T16:30:15+02:00</dcterms:created>
  <dcterms:modified xsi:type="dcterms:W3CDTF">2026-09-30T16:30:15+02:00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