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1180-PE000-ISP-0401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32,w tym:
a) wykład - 30 godz.;
b) konsultacje - 2 godz.;
2) Praca własna studenta - czytanie wskazanej literatury, przygotowanie do zajęć oraz sprawdzianu końcowego 18 godz.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liczba godzin kontaktowych - 32, w tym:
a) wykład 30 godz.;
b) konsultacje 20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funkcjonowania gospodarki rynkowej. Zapoznanie się z podstawowymi kategoriami i mechanizmami ekonomicznymi. Zdobycie umiejętności w zakresie interpretowania i oceny zjawisk ekonomiczno-społecznych.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i zakres ekonomii. Zasoby a potrzeby ludzkie.  Podstawowe kategorie ekonomiczne: popyt, podaż, cena równowagi, elastyczność popytu i podaży. Zjawisko konkurencji, struktury rynkowe funkcjonujące w gospodarce.  Zysk, przychód, koszty w przedsiębiorstwie. Rynek czynników produkcji. Rynek kapitałowy. Zjawisko bezrobocia i inflacji. Rola wzrostu i rozwoju gospodarczego. Ekonomiczna rola państwa w gospodarce.  Integracja gospodarcza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Wybrane rozdziały z: 1. red. S. Marciniak: Podstawy makro – i mikroekonomii,Wydawnictwo Naukowe PWN, Warszawa 2013. 2. red. R. Milewski: Podstawy ekonomii, Wydawnictwo Naukowe PWN,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1180-PE000-ISP-0401_W1: </w:t>
      </w:r>
    </w:p>
    <w:p>
      <w:pPr/>
      <w:r>
        <w:rPr/>
        <w:t xml:space="preserve">Zna ogólne zasady tworzenia i rozwoju form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1180-PE000-ISP-0401_U1: </w:t>
      </w:r>
    </w:p>
    <w:p>
      <w:pPr/>
      <w:r>
        <w:rPr/>
        <w:t xml:space="preserve">Student na podstawie przeprowadzonej analizy literatury potrafi zinterpretować i ocenić zjawiska ekonomiczno-społeczne.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T1A_U09, 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1180-PE000-ISP-0401_K1: </w:t>
      </w:r>
    </w:p>
    <w:p>
      <w:pPr/>
      <w:r>
        <w:rPr/>
        <w:t xml:space="preserve">Ma świadomość ważności i rozumie pozatechniczne aspekty i skutki działalności inżyniera.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InzA_K01, T1A_K05, 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2026-10-02T20:36:25+02:00</dcterms:created>
  <dcterms:modified xsi:type="dcterms:W3CDTF">2026-10-02T20:36:25+02:00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