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K_U14, K_U19, K_U20,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T1A_U08, T1A_U09, T1A_U14, InzA_U06, T1A_U12, T1A_U16, T1A_U16, T1A_U07, T1A_U09, T1A_U10, InzA_U03, T1A_U11</w:t>
      </w:r>
    </w:p>
    <w:p>
      <w:pPr>
        <w:keepNext w:val="1"/>
        <w:spacing w:after="10"/>
      </w:pPr>
      <w:r>
        <w:rPr>
          <w:b/>
          <w:bCs/>
        </w:rPr>
        <w:t xml:space="preserve">Efekt 1150-PE000-ISP-0328_U2: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1150-PE000-ISP-0328_U3: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2026-10-01T21:40:46+02:00</dcterms:created>
  <dcterms:modified xsi:type="dcterms:W3CDTF">2026-10-01T21:40:46+02:00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