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Krzysztof Urbaniak, 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- 30 godz., b) udział w konsultacjach - 2 godz. Razem: 32 godz. = 1,3 ECTS
2) Praca własna studenta - 18 godz., w tym: 
a) przygotowanie do ćwiczeń (10 godzin), 
b) przygotowanie do zaliczenia (8 godzin). 
Razem: 18 godz. = 0,7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- 32 godz., w tym: a) udział w ćwiczeniach - 30 godz., b) udział w konsultacjach - 2 godz. Razem: 32 godz. = 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U_02: </w:t>
      </w:r>
    </w:p>
    <w:p>
      <w:pPr/>
      <w:r>
        <w:rPr/>
        <w:t xml:space="preserve">Potrafi analizować problemy oraz umiejętnie je rozwiązywać w oparciu o poznane zasady, metody i aplikacje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II.S.P6S_UW.3.o, II.H.P6S_UW.1, I.P6S_UW, II.S.P6S_UW.1, II.S.P6S_UW.2.o,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2026-10-01T08:20:13+02:00</dcterms:created>
  <dcterms:modified xsi:type="dcterms:W3CDTF">2026-10-01T08:20:13+02:00</dcterms:modified>
</cp:coreProperties>
</file>

<file path=docProps/custom.xml><?xml version="1.0" encoding="utf-8"?>
<Properties xmlns="http://schemas.openxmlformats.org/officeDocument/2006/custom-properties" xmlns:vt="http://schemas.openxmlformats.org/officeDocument/2006/docPropsVTypes"/>
</file>