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Krajowe i międzynarodowe środki ochrony podstawowych praw i wolności</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A13_KMSOPPW</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środków ochrony podstawowych praw i wolności człowieka i obywatela. Tematyka ćwiczeń obejmuje szczegółowe zagadnienia związane z realizacją konstytucyjnych uprawnień, takich jak prawo dostępu do sądu, prawo do złożenia skargi konstytucyjnej do Trybunału Konstytucyjnego oraz prawo dostępu do Rzecznika Praw Obywatelskich. Omówione zostaną również międzynarodowy, europejski i unijny systemy ochrony podstawowych praw i wolności, oparte na Międzynarodowych Paktach Praw Człowieka, Europejskiej Konwencji Praw Człowieka oraz Karcie Praw Podstawowych Unii Europejskiej.</w:t>
      </w:r>
    </w:p>
    <w:p>
      <w:pPr>
        <w:keepNext w:val="1"/>
        <w:spacing w:after="10"/>
      </w:pPr>
      <w:r>
        <w:rPr>
          <w:b/>
          <w:bCs/>
        </w:rPr>
        <w:t xml:space="preserve">Treści kształcenia: </w:t>
      </w:r>
    </w:p>
    <w:p>
      <w:pPr>
        <w:spacing w:before="20" w:after="190"/>
      </w:pPr>
      <w:r>
        <w:rPr/>
        <w:t xml:space="preserve">1. PRAWA I WOLNOŚCI CZŁOWIEKA JAKO PRZEDMIOT REGULACJI PRAWNEJ.
1.1. Prawa i wolności człowieka jako instytucje prawne.
1.2. Systematyka i charakterystyka podstawowych systemów ochrony praw i wolności.
1.3. Kształtowanie się zarówno międzynarodowych i europejskich systemów ochrony podstawowych praw i wolności, jak i krajowego systemu ochrony.
1.4. Konstytucja jako akt wysłowiający konstytucyjne prawa i wolności.
1.5. Podstawowe międzynarodowe i europejskie akty normatywne regulujące problematykę ochrony praw i wolności człowieka.
2. OCHRONA PRAW I WOLNOŚCI PODSTAWOWYCH PRZED SĄDAMI KRAJOWYMI. 
2.1. Istota i treść konstytucyjnego prawa do sądu. Zakaz zamykania sądowej drogi dochodzenia naruszonych praw i wolności.
2.2. Struktura sądów w Polsce i charakter spraw rozpoznawanych przez poszczególne kategorie sądów.
2.3. Ochrona podstawowych praw i wolności w postępowaniach sądowych. Zasada bezpośredniego stosowania przepisów Konstytucji dotyczących praw i wolności oraz pierwszeństwo międzynarodowych i unijnych aktów prawnych przed ustawami. 
3. OCHRONA PRAW I WOLNOŚCI KONSTYTUCYJNYCH PRZED TRYBUNAŁEM KONSTYTUCYJNYM. 
3.1. Trybunał Konstytucyjny jako gwarant poszanowania konstytucyjnych praw i wolności. 
3.2. Formy kontroli zgodności aktów prawnych z konstytucyjnymi prawami i wolnościami. Tryby inicjowania kontroli. 
3.3. Skarga konstytucyjna jako indywidualny środek ochrony praw i wolności.
4. SKARGA KONSTYTUCYJNA DO TRYBUNAŁU KONSTYTUCYJNEGO.
4.1. Polski model skargi konstytucyjnej na tle porównawczym.
4.2. Konstytucyjne przesłanki wniesienia skargi konstytucyjne.
4.3. Ustawowe wymagania formalne dotyczące sporządzenia i wniesienia skargi konstytucyjnej.
4.4. Tryb rozpoznania skargi konstytucyjnej przez Trybunał Konstytucyjny.
4.5. Skutki rozpoznania skargi konstytucyjnej dla skarżącego i całego systemu prawnego.
5. RZECZNIK PRAW OBYWATELSKICH I INNE ORGANY RZECZNIKOWSKIE. 
5.1. Geneza i charakter instytucji ombudsmana.
5.2. Polski model ombudsmana i jego geneza.
5.3. Pozycja ustrojowa, zadania i kompetencje Rzecznika Praw Obywatelskich obecnie.
5.4. Zasady dochodzenia ochrony praw i wolności przed Rzecznikiem Praw Obywatelskich.
5.5. Środki prawne przysługujące Rzecznikowi Praw Obywatelskich służące zapewnieniu ochrony praw i wolności.
5.6. Rzecznik Praw Dziecka i inne krajowe organy rzecznikowskie – ich status i zadania.
6. OCHRONA PRAW I WOLNOŚCI W SYSTEMIE ORGANIZACJI NARODÓW ZJEDNOCZONYCH (ONZ).
6.1. Organizacja Narodów Zjednoczonych a ochrona praw i wolności człowieka. Karta Narodów Zjednoczonych.
6.2. Powszechna Deklaracja Praw Człowieka – status prawny i treść.
6.3. Międzynarodowe Pakty Praw – status prawny i treść.
6.4. Komitet Praw Człowieka.
6.5. Inne traktaty w systemie ONZ.
7. EUROPEJSKI SYSTEM OCHRONY PRAW I WOLNOŚCI CZŁOWIEKA.
7.1. Rada Europy a ochrona praw i wolności człowieka.
7.2. Europejska Konwencja Praw Człowieka – status prawny i treść.
7.3. Europejski Trybunał Praw Człowieka – organizacja i zakres właściwości.
7.4. Typy skarg do Europejskiego Trybunału Praw Człowieka i zasady ich rozpoznawania.
7.5. Wyroku Europejskiego Trybunału Praw Człowieka i ich skutki.
7.6. Inne konwencje w systemie Rady Europy.
8. UNIJNY SYSTEM OCHRONY PRAW I WOLNOŚCI CZŁOWIEKA.
8.1. Unia Europejska a ochrona praw i wolności człowieka.
8.2. Karta Praw Podstawowych Unii Europejskiej – status prawny, treść oraz warunki powoływania się na jej przepisy.
8.3. Przystąpienie Unii Europejskiej do Europejskiej Konwencji Praw Człowieka.
8.4. Trybunał Sprawiedliwości Unii Europejskiej – organizacja i zakres właściwości.
8.5. Sądy krajowe jako sądu europejskie.
9. INNE REGIONALNE SYSTEMY OCHRONY PODSTAWOWYCH PRAW I WOLNOŚCI.
9.1. Międzyamerykański system ochrony praw i wolności.
9.2. Afrykański system ochrony praw i wolności.
10. WSPÓŁCZESNE TENDENCJE W ZAKRESIE OCHRONY PODSTAWOWYCH PRAW I WOLNOŚCI CZŁOWIEKA.</w:t>
      </w:r>
    </w:p>
    <w:p>
      <w:pPr>
        <w:keepNext w:val="1"/>
        <w:spacing w:after="10"/>
      </w:pPr>
      <w:r>
        <w:rPr>
          <w:b/>
          <w:bCs/>
        </w:rPr>
        <w:t xml:space="preserve">Metody oceny: </w:t>
      </w:r>
    </w:p>
    <w:p>
      <w:pPr>
        <w:spacing w:before="20" w:after="190"/>
      </w:pPr>
      <w:r>
        <w:rPr/>
        <w:t xml:space="preserve">Podstawą oceny końcowej z przedmiotu będzie wynik sprawdzianu pisemnego (kolokwium zaliczeniowego). Warunkiem przystąpienia do tego sprawdzianu będzie nieprzekroczenie limitu nieobecności.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Kolokwium zaliczeniowe będzie polegało na rozwiązaniu zestawu 10 pytań testowych jednokrotnego wyboru i odpowiedzi na wybrane jedno z dwóch pytań otwartych. Uzyskanie pozytywnego wyniku z kolokwium zaliczeniowego wymaga uzyskania co najmniej 50%+1 punktów możliwych do zdobycia z pracy.
Kierownik przedmiotu, ustalając ocenę końcową z przedmiotu, uwzględnia również wyniki bieżącej weryfikacji wiedzy studenta, w szczególności przygotowanie merytoryczne i aktywność podczas zajęć.
Studenci, którzy z kolokwium zaliczeniowego nie otrzymali wyniku pozytywnego albo byli nieobecni, będą mogli – tylko raz – przystąpić do kolokwium w terminie poprawkowym. Zasady dopuszczenia do sprawdzianu w terminie poprawkowym, jego forma oraz zasady zaliczenia są takie same jak sprawdzianu w pierwszym terminie.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krajowych i międzynarodowych środków ochrony podstawowych praw i wolności. W szczególności potrafi wskazać podstawowe sposoby poszukiwania ochrony przed organami polskimi oraz zna zasadnicze uwarunkowania prawne dotyczące dostępu do sądu, wniesienia skargi konstytucyjnej do Trybunału Konstytucyjnego i skargi do Rzecznika Praw Obywatelskich.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K_W11</w:t>
      </w:r>
    </w:p>
    <w:p>
      <w:pPr>
        <w:spacing w:before="20" w:after="190"/>
      </w:pPr>
      <w:r>
        <w:rPr>
          <w:b/>
          <w:bCs/>
        </w:rPr>
        <w:t xml:space="preserve">Powiązane charakterystyki obszarowe: </w:t>
      </w:r>
      <w:r>
        <w:rPr/>
        <w:t xml:space="preserve">I.P6S_WG, II.S.P6S_WG.1, II.S.P6S_WG.2, II.H.P6S_WG.1.o, I.P6S_WK, II.S.P6S_WG.3, II.H.P6S_WG/K.o, II.T.P6S_WK</w:t>
      </w:r>
    </w:p>
    <w:p>
      <w:pPr>
        <w:keepNext w:val="1"/>
        <w:spacing w:after="10"/>
      </w:pPr>
      <w:r>
        <w:rPr>
          <w:b/>
          <w:bCs/>
        </w:rPr>
        <w:t xml:space="preserve">Charakterystyka W_2: </w:t>
      </w:r>
    </w:p>
    <w:p>
      <w:pPr/>
      <w:r>
        <w:rPr/>
        <w:t xml:space="preserve">Po zakończeniu zajęć student potrafi również wskazać i scharakteryzować międzynarodowe i europejskie systemy ochrony podstawowych praw i wolności, a także zna treść aktów normatywnych składających się na te systemy oraz zasady powoływania się na nie przed organami krajowymi i międzynarodowymi. Zna podstawowe rozwiązania prawne dotyczące organizacji i funkcjonowania Europejskiego Trybunału Praw Człowieka w Strasburgu i Trybunału Sprawiedliwości Unii Europejskiej w Luksemburgu.</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K_W05, K_W01, K_W03</w:t>
      </w:r>
    </w:p>
    <w:p>
      <w:pPr>
        <w:spacing w:before="20" w:after="190"/>
      </w:pPr>
      <w:r>
        <w:rPr>
          <w:b/>
          <w:bCs/>
        </w:rPr>
        <w:t xml:space="preserve">Powiązane charakterystyki obszarowe: </w:t>
      </w:r>
      <w:r>
        <w:rPr/>
        <w:t xml:space="preserve">II.S.P6S_WG.1, II.S.P6S_WG.2, II.S.P6S_WG.3, I.P6S_WG, II.H.P6S_WG.1.o, I.P6S_WK, II.H.P6S_WG/K.o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i dokonać ich kwalifikacji w świetle przepisów aktów normatywnych zawierających gwarancje ochrony takich praw i wolności (Konstytucji, Europejskiej Konwencji Praw Człowieka i Karty Praw Podstawowych UE). Umie wskazać w tych aktach adekwatne przepisy, na które można się powołać w wypadku naruszenia konkretnych praw lub wolności. Zna podstawowe warunki i tryb powoływania się na te akty przed krajowymi i międzynarodowymi organami ochrony.</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swój pogląd o możliwości powołania się na określony akt normatywny w celu uzyskania ochrony w określonych okolicznościach, powinien umieć wykazać się znajomością przesłanek i trybu powoływania się na ten akt.</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U_2: </w:t>
      </w:r>
    </w:p>
    <w:p>
      <w:pPr/>
      <w:r>
        <w:rPr/>
        <w:t xml:space="preserve">Po zakończeniu zajęć student potrafi sporządzić - na tle niezłożonej sytuacji faktycznej - pismo (np. skargę do Rzecznika Praw Obywatelskich) z żądaniem udzielenia ochrony przed naruszeniem podstawowych praw lub wolności.</w:t>
      </w:r>
    </w:p>
    <w:p>
      <w:pPr>
        <w:spacing w:before="60"/>
      </w:pPr>
      <w:r>
        <w:rPr/>
        <w:t xml:space="preserve">Weryfikacja: </w:t>
      </w:r>
    </w:p>
    <w:p>
      <w:pPr>
        <w:spacing w:before="20" w:after="190"/>
      </w:pPr>
      <w:r>
        <w:rPr/>
        <w:t xml:space="preserve">Umiejętności studenta będą weryfikowane przy okazji rozwiązywania kazusów i sporządzenia krótkich prac pisemnych. </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instytucjonalnych i proceduralnych z zakresu ochrony podstawowych praw i wolności człowieka. Rozumie potrzebę zapewnienia efektywności polskich organów ochrony, takich jak sądy, Trybunał Konstytucyjny czy Rzecznik Praw Obywatelskich. Umie również ocenić znaczenie członkostwa Rzeczypospolitej Polskiej w międzynarodowych i europejskich systemach ochrony praw człowieka, w szczególności rozumie wagę i znaczenie orzecznictwa Europejskiego Trybunału Praw Człowieka i Trybunału Sprawiedliwości Unii Europejskiej w tej dziedzinie.</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2026-02-09T12:51:29+01:00</dcterms:created>
  <dcterms:modified xsi:type="dcterms:W3CDTF">2026-02-09T12:51:29+01:00</dcterms:modified>
</cp:coreProperties>
</file>

<file path=docProps/custom.xml><?xml version="1.0" encoding="utf-8"?>
<Properties xmlns="http://schemas.openxmlformats.org/officeDocument/2006/custom-properties" xmlns:vt="http://schemas.openxmlformats.org/officeDocument/2006/docPropsVTypes"/>
</file>