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wskazana literaturą - 50, opracowanie wyników - 120, napisanie sprawozdania - 100, przygotowanie do egzaminu - 30; Razem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specjalnościowe.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 kierującym pracą dyplomową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magisterską ma wykazać się pogłębioną znajomością podstawowej wiedzy teoretycznej i doświadczalnej w danej dziedzinie oraz umiejętnością rozwiązywania złożonych problemów wymagających zastosowania tej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ogólną uporządkowaną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technologie inżynierskie w zakresie technologii chemicznej, w tym szczególnie w zakresie technologii rafineryjnej, petrochemicznej, technologii materiałów polimerowych i technologii pokrewnych..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przy rozwiązywaniu zadań inżynierskich integrować wiedzę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dokonać krytycznej oceny procesów technologicznych, rozwiązań technicznych lub organizacyjnych stosowanych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 i 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K07: </w:t>
      </w:r>
    </w:p>
    <w:p>
      <w:pPr/>
      <w:r>
        <w:rPr/>
        <w:t xml:space="preserve">Ma świadomość profesjonalnego podejścia do tworzenia opracowań 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2026-10-01T14:35:05+02:00</dcterms:created>
  <dcterms:modified xsi:type="dcterms:W3CDTF">2026-10-01T14:35:05+02:00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