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ML.NK691_W4: </w:t>
      </w:r>
    </w:p>
    <w:p>
      <w:pPr/>
      <w:r>
        <w:rPr/>
        <w:t xml:space="preserve">							Student posiada wiedzę i umiejętności związane z pracą sieci inteligentnej i układów energetyki rozproszonej, ich regulacją i sterowaniem, optymalizacją i zintegrowaniem z pracą systemu energetycznego oraz oprogramowaniem systemu utility.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ML.NW691_W2: </w:t>
      </w:r>
    </w:p>
    <w:p>
      <w:pPr/>
      <w:r>
        <w:rPr/>
        <w:t xml:space="preserve">																												Student ma wiedzę na temat modelowania poszczególnych urządzeń energetyki rozproszonej.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Student  posiada wiedzę o funkcjonalności smart grid i nowych urządzeniach sieci inteligentnych,  rozumie kierunki rozwoju systemy elektroenergetycznego oraz konsekwencje zmian systemowych.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Student  posiada wiedzę o funkcjonalności smart grid i nowych urządzeniach sieci inteligentnych,  rozumie kierunki rozwoju systemy elektroenergetycznego oraz konsekwencje zmian systemowych.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ML.NK691_U1: </w:t>
      </w:r>
    </w:p>
    <w:p>
      <w:pPr/>
      <w:r>
        <w:rPr/>
        <w:t xml:space="preserve">							Student ma umiejętność  modelowania poszczególnych urządzeń energetyki rozproszonej i sieci inteligentnych.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ML.NK691_U1: </w:t>
      </w:r>
    </w:p>
    <w:p>
      <w:pPr/>
      <w:r>
        <w:rPr/>
        <w:t xml:space="preserve">							Student ma umiejętność  modelowania poszczególnych urządzeń energetyki rozproszonej i sieci inteligentnych.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ML.NK691_K1: </w:t>
      </w:r>
    </w:p>
    <w:p>
      <w:pPr/>
      <w:r>
        <w:rPr/>
        <w:t xml:space="preserve">														Student zna i potrafi wykorzystać wiedzę na temat energetyki rozproszonej i sieci inteligentnych do realizacji celów społeczno-gospodarczych przy akceptacji zasad  ochrony środowiska.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ML.NK691_K1: </w:t>
      </w:r>
    </w:p>
    <w:p>
      <w:pPr/>
      <w:r>
        <w:rPr/>
        <w:t xml:space="preserve">														Student zna i potrafi wykorzystać wiedzę na temat energetyki rozproszonej i sieci inteligentnych do realizacji celów społeczno-gospodarczych przy akceptacji zasad  ochrony środowiska.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2026-03-21T10:38:03+01:00</dcterms:created>
  <dcterms:modified xsi:type="dcterms:W3CDTF">2026-03-21T10:38:03+01:00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