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ekonomika wykonawstwa instalacji wodociągowych i kanalizacyjnych (IN1A_37/01)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Karolina Wójcicka/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IN1A_37/01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- 10, przygotowanie do zaliczenia - 5, razem - 25;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 = 0,4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wiedzą o tradycyjnych i  nowoczesnych technologiach  robót sanitarnych z zakresu wewnętrznych instalacji wodociągowych i kanalizacyjnych.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Instalacje wodociągowo-kanalizacyjne z punktu widzenia technologii, wykonawstwa i organizacji robót.
W2 - Podstawy prawne stosowania materiałów instalacyjnych i armatury w budownictwie.
W3 - Materiały, armatura i urządzenia stosowane w instalacjach wodociągowo-kanalizacyjnych – wady i zalety poszczególnych rozwiązań.
W4 - Kryteria wyboru rozwiązań materiałowych i konkretnej technologii na szybkość i jakość wykonania instalacji oraz jej koszt.
W5 - Współczesne trendy w wykonawstwie instalacji wodociągowych i kanalizacyjnych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zaliczenie tematyki wykładowej polegające na uzyskaniu pozytywnej oceny z kolokwium przeprowadzonego na końcu semestru (termin kolokwium  ustalony  ze studentami na pierwszych zajęciach).
Warunki zaliczenia kolokwium są następujące:
60%  – ocena dostateczna,
80%  – ocena dobra,
100%  - ocena bardzo dobra.
W przypadku niezaliczenia kolokwium istnieje możliwość wyznaczenia terminu poprawkowego w terminie ustalonym z prowadzącym.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1.Warunki techniczne wykonania i odbioru robót budowlano-montażowych. Tom II - Instalacje sanitarne i przemysłowe. Arkady. Warszawa 1988.                                              
 2.Furtak L., Rabiej St. i in.: Warunki techniczne wykonania i odbioru rurociągów z tworzyw sztucznych. Wydawnictwo Polskiej Korporacji Techniki Sanitarnej, Grzewczej, Gazowej i Klimatyzacji. Warszwa 1996.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o trendach rozwojowych w zakresie nowych technologii stosowanych przy wykonawstwie instalacji wodociągowo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zaliczeniowe (W5).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W08_02: </w:t>
      </w:r>
    </w:p>
    <w:p>
      <w:pPr/>
      <w:r>
        <w:rPr/>
        <w:t xml:space="preserve">Ma podstawową wiedzę dotyczącą bezpieczeństwa i higieny pracy przy wykonywaniu instalacji wodociągowo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zaliczeniowe (W1, W2, W4)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technologie robót sanitarnych z zakresu wewnętrznych instalacji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(W1-W4)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katalogów (katalog nakładów rzeczowych , informatory cen), zasobów internetowych , czasopism branżowych, stron producentów w odniesieniu do potrzeb procesu wykonawstwa i kosztorysowania instalacji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(W1-W5), dyskusja w ramach wykładu.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samokształcenia się w celu uzyskania informacji i wiedzy o nowych technologiach i materiałach stosowanych w zakresie instalacji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(W1-W5), dyskusja w ramach wykładu.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Potrafi określić priorytety oraz identyfikować i rozstrzygać problemy związane z realizacją robót sanitarnych w zakresie instalacji wodociągowo-kanalizacyjnych.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2025-07-06T18:55:52+02:00</dcterms:created>
  <dcterms:modified xsi:type="dcterms:W3CDTF">2025-07-06T18:55:52+02:00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