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instytucji i pojęć prawnych. W trakcie wykładu studenci zostaną zapoznani z system prawa polskiego i prawa Unii Europejskiej, najważniejszymi zasadami ustroju oraz funkcjonowania władzy w Polsce, a także z wybranymi zagadnieniami prawa administracyjnego i cywilnego, w tym ochrony własności intelektualnej.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
</w:t>
      </w:r>
    </w:p>
    <w:p>
      <w:pPr>
        <w:keepNext w:val="1"/>
        <w:spacing w:after="10"/>
      </w:pPr>
      <w:r>
        <w:rPr>
          <w:b/>
          <w:bCs/>
        </w:rPr>
        <w:t xml:space="preserve">Metody oceny: </w:t>
      </w:r>
    </w:p>
    <w:p>
      <w:pPr>
        <w:spacing w:before="20" w:after="190"/>
      </w:pPr>
      <w:r>
        <w:rPr/>
        <w:t xml:space="preserve">zaliczenie pisemne (test jednokrotnego wyboru) 
poprawka –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Warszawa 2016, Wydawnictwo C.H. Beck, ISBN: 978-83-255-7740-7.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2017, Wydawnictwo Wolters Kluwer, ISBN: 978-83-8107-254-0.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zasady i regulacje prawne związane z podejmowaniem i prowadzeniem działalności gospodarczej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K_W16, K_W14</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podstawową wiedzę w zakresie ochrony własności intelektualnej: własności przemysłowej, prawa patentowego i prawa autorskiego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Posługuje się źródłami prawa polskiego i prawa Unii Europejskiej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Zna konstytucyjne zasady prawne oraz zasady wykładni prawa i rozumie ich wpływ na procesy stanowienia i stosowania prawa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2026-08-19T21:28:46+02:00</dcterms:created>
  <dcterms:modified xsi:type="dcterms:W3CDTF">2026-08-19T21:28:46+02:00</dcterms:modified>
</cp:coreProperties>
</file>

<file path=docProps/custom.xml><?xml version="1.0" encoding="utf-8"?>
<Properties xmlns="http://schemas.openxmlformats.org/officeDocument/2006/custom-properties" xmlns:vt="http://schemas.openxmlformats.org/officeDocument/2006/docPropsVTypes"/>
</file>