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osobowe, fizyczne i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+ 5h studia literatury + 5h przygotowanie do testu zaliczeniowego + 8h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+ 5h studia literatury + 5h przygotowanie do testu zaliczeniowego + 8h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prawa, praw osób i zagrożeń związanych z bezpieczeństwem osób fizycznym oraz środków zabezpieczeń fizycznych i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przepisami i zasadami dotyczącymi Bezpieczeństwa osobowego fizycznego i technicznego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	Określanie bezpieczeństwa fizycznego 
2.	Określanie obszarów bezpiecznych 
3.	Środki techniczne i sprzęt zabezpieczające obiekty i pomieszczenia 
4.	Bezpieczeństwo osobowe i antyterrorystyczne
5.	Wymagania prawne i normalizacyjne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jest uzyskiwana za wykonywane ćwiczenia, aktywność na zajęciach, znalezione w Internecie incydenty, nieobowiązkowe prace własne oraz test 
2. Ocena sumatywna: zalicza 51 punktów z czego z testu można uzyskać maksimum 50 pkt, z ćwiczeń 50 pkt dodatkowe punkty za pozo-stałe elementy szczegółowe zasady określa rozesłany studentom  regulamin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Ustawa o Ochronie osób i mienia z dnia 22 sierpnia 1997r.
2.	Rozporządzenie Rady Ministrów z dnia 29 maja 2012 r. w sprawie środków bezpieczeństwa fizycznego stosowanych do zabezpieczania informacji niejawnych
3.	Ustawa o ochronie przeciwpożarowej (Dz. U. nr 81 z dnia 11.09.1991 r. poz. 351 z późn. zm)
Uzupełniająca:
1.	Normy dotyczące Bezpieczeństwa Fizycznego
2.	Normy i Standardy bezpieczeństwa przeciwpożarowego
3.	Normy dotyczące bezpieczeństwa informacji i ciągłości działania
4.	Informacje internetowe o zabezpieczeniach fizycznych i technicznych
5.	Informacje internetowe o incydentach z zakresu bezpieczeństwa osobowego, fizycznego i technicznego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sposobach zaliczenia i zakresie ćwiczeń zawiera rozesłany studentom regulamin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I.P7S_WG: </w:t>
      </w:r>
    </w:p>
    <w:p>
      <w:pPr/>
      <w:r>
        <w:rPr/>
        <w:t xml:space="preserve">podstawowe procesy zachodzące w cyklu życia systemów i procesów zarządzania oraz ich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I.P7S_WK: </w:t>
      </w:r>
    </w:p>
    <w:p>
      <w:pPr/>
      <w:r>
        <w:rPr/>
        <w:t xml:space="preserve">zasady ochrony własności oraz prawnych uwarunkowań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I.P7S_UW: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wykonywane w trakcie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I.P7S_KK: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2026-10-03T10:07:45+02:00</dcterms:created>
  <dcterms:modified xsi:type="dcterms:W3CDTF">2026-10-03T10:07:45+02:00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