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+ 20h przygotowanie do ćwiczeń +  2h konsultacje + 15h przygotowanie do prac kontrolnych + 10h przygotowanie do kolokwium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10h wykład + 18h ćwiczenia + 2h konsultacje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18h  ćwiczenia + 20h przygotowanie do ćwiczeń +  2h konsultacje + 15h przygotowanie do prac kontrolnych + 10h przygotowanie do kolokwium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
</w:t>
      </w:r>
    </w:p>
    <w:p>
      <w:pPr>
        <w:keepNext w:val="1"/>
        <w:spacing w:after="10"/>
      </w:pPr>
      <w:r>
        <w:rPr>
          <w:b/>
          <w:bCs/>
        </w:rPr>
        <w:t xml:space="preserve">Treści kształcenia: </w:t>
      </w:r>
    </w:p>
    <w:p>
      <w:pPr>
        <w:spacing w:before="20" w:after="190"/>
      </w:pPr>
      <w:r>
        <w:rPr/>
        <w:t xml:space="preserve">Wykład: 
1.	Funkcje  jednej  zmiennej rzeczywistej  i  ich własności.  Funkcje elementarne.  (2 h)
2.	Ciągi  liczbowe.  Granice ciągów.  Działania na ciągach. Liczba  e.  (2 h)
3.	Granice funkcji. Asymptoty funkcji. Funkcje ciągłe. (2 h)
4.	Pochodna funkcji. Różniczka funkcji. Pochodne wyższych 
rzędów.  (2 h)
5.	Badanie funkcji. Ekstrema lokalne i przedziały monotoniczności  funkcji.  Punkty  przegięcia  oraz  przedziały  wklęsłości i wypukłości funkcji.   (2 h)
6.	Całka nieoznaczona. Podstawowe  wzory  rachunku  całkowego.   (2 h)
7.	Całki  oznaczone  właściwe i niewłaściwe.  Pole obszaru płaskiego.  (2 h)
8.	Funkcje wielu zmiennych rzeczywistych.  Pochodne  cząstkowe. (1 h)
 Ćwiczenia: 
1.	Zbiór liczb rzeczywistych. Zbiory ograniczone. Kresy zbiorów.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(3 h)
10.	Funkcje dwu zmiennych rzeczywistych. Pochodne cząstkowe. Gradient. Ekstrema lokalne.  (4 h)
11.	Szeregi liczbowe nieskończone. Suma szeregu. Szeregi zbieżne i rozbieżne. Kryteria zbieżności i rozbieżności szeregów. Szereg arytmetyczny. Szereg geometryczny.  (4 h)
12.	Prace kontrolne.  (3 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C. Końcowa ocena z przedmiotu: Przedmiot uznaje się za zaliczony, gdy każda z dwóch części (wykład i ćwiczenia) została zaliczona na ocenę co najmniej 3,0.  Suma punktów z wykładu i ćwiczeń: max 100 – ocena 5,0;  wymaganych minimum 50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4.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Posiada wiedzę w zakresie wykorzystania modeli formalnych w różnych problemach ekonomicznych.    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Posiada umiejętności  z  zakresu  analizowania  i  prognozowania  procesów  z  wykorzystaniem  standardowych metod matematycznych  wykorzystywanych w ekonomii i w technice. Potrafi dostrzegać relacje pomiędzy wielkościami ekonomicznymi. </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I1_U09: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Gotów  do logicznego  myślenia  i  dbałości o precyzyjne wyrażanie  problemów.</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2026-10-03T05:42:58+02:00</dcterms:created>
  <dcterms:modified xsi:type="dcterms:W3CDTF">2026-10-03T05:42:58+02:00</dcterms:modified>
</cp:coreProperties>
</file>

<file path=docProps/custom.xml><?xml version="1.0" encoding="utf-8"?>
<Properties xmlns="http://schemas.openxmlformats.org/officeDocument/2006/custom-properties" xmlns:vt="http://schemas.openxmlformats.org/officeDocument/2006/docPropsVTypes"/>
</file>