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korporacyjna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Tadeusz A. Grzeszczyk,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 + 15h ćwiczenia + 10h przygotowanie do zajęć, przygotowanie projektów i prezentacji + 10h zapoznanie z literaturą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
15h wykład + 15h ćwiczenia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 
15h ćwiczenia + 10h przygotowanie do zajęć, przygotowanie projektów i prezentacji + 10h zapoznanie z literaturą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Obsługa programów MS Office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teoretycznej wiedzy dotyczącej architektury korporacyjnej oraz praktycznych umiejętności jej projektowania, ze szczególnym uwzględnieniem struktur bazujących na systemach inteligentnych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Wprowadzenie i prezentacja regulaminu przedmiotu. Geneza i istota ładu korporacyjnego, procesów biznesowych wspieranych technologiami ICT i ładu architektonicznego. Kontinuum korporacyjne. Definicja architektury korporacyjnej. Zawód: architekt korporacyjny.
2. Modelowanie przedsiębiorstwa. Struktura, funkcje i powiązania poszczególnych komponentów firmy. Ocena poziomu dojrzałości architektury. Zaspokajanie potrzeb informacyjnych przedsiębiorstwa.
3. Wybrane modele i metody opisu architektury korporacyjnej. Planowanie i wdrażanie architektury korporacyjnej. 
4. Zarządzanie strategiczne, architektura korporacyjna, zarządzanie projektami i programami. 
5. Strategia biznesowa i strategia informatyzacji. Architektura korporacyjna i sztuczna inteligencja. Wyzwania ery Przemysłu 4.0 i Zarządzania 4.0.
6. Perspektywy rozwoju architektury korporacyjnej.
B. Ćwiczenia: 
1. Architektury korporacyjne w różnych przedsiębiorstwach.
2. Zasady projektowania architektur: biznesowych, danych, aplikacji, wiedzy i technologii.
3. Gromadzenie danych empirycznych dotyczących badanych przedsiębiorstw. Analiza i diagnoza stanu początkowego firm z uwzględnieniem przyjętej strategii oraz ich potrzeb informacyjnych. 
4. Proces planowania pożądanego stanu docelowego dla badanych przedsiębiorstw. Określanie możliwych sposobów osiągnięcia stanu docelowego. 
5. Prezentacje projektów studenckich.
6. Wystawianie i poprawianie ocen końcowych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związana z aktywności studentów podczas zajęć
2. Ocena sumatywna: sprawdzian końcowy w formie dyskusji.
B. Ćwiczenia: 
1. Ocena formatywna: dotyczy przedstawiania prezentacji oraz aktywnego uczestnictwa w dyskusjach związanych z projektami studentów.
2. Ocena sumatywna: dotyczy wartości merytorycznej przedstawionych projektów.
E. Końcowa ocena z przedmiotu: średnia arytmetyczna oceny z ćwiczeń i sprawdzianu końcowego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Marc L. i in., 2017. Enterprise Architecture at Work: Modelling, Communication and Analysis. Berlin Heidelberg: Springer-Verlag.
2.	Ross J. W., Weill P., Robertson D. C., 2010. Architektura korporacyjna jako strategia budowanie fundamentu w biznesie. Warszawa: Studio Emka.
Uzupełniająca:
1.	Grzeszczyk, T. A., 2018. Mixed Intelligent Systems: Developing Models for Project Management and Evaluation. Palgrave Macmil-lan/Springer International Publishing AG.
2.	Skilton, M., Hovsepian, F., 2018. The 4th Industrial Revolution: Responding to the Impact of Artificial Intelligence on Business. Palgrave Macmillan/Springer International Publishing AG.
3.	Stirna, J., Persson, A., 2018. Enterprise Modeling: Facilitating the Process and the People. Springer International Publishing AG.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Każdy projekt powinien być zaprezentowany na zajęciach. Ocenie podlegają zarówno wartości merytoryczne projektów, jak również sposoby ich prezentacji. Warunkiem dopuszczenia do egzaminu końcowego jest uzyskanie co najmniej dostatecznej oceny z ćwiczeń.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Teorie oraz ogólną metodologia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teoretycznego sprawdzianu, 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Teorie oraz ogólna metodologia badań w zakresie zastosowań narzędzi informatycznych w zarządzaniu 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teoretycznego sprawdzianu, 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Identyfikacja i interpretacja podstawowych zjawisk i procesów społecznych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I1_U16: </w:t>
      </w:r>
    </w:p>
    <w:p>
      <w:pPr/>
      <w:r>
        <w:rPr/>
        <w:t xml:space="preserve">Komunikowanie się z użyciem specjalistycznej terminologii z zakresu nauk ekonomicznych, technicznych i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Krytyczna ocena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Uznawanie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2025-07-08T19:55:24+02:00</dcterms:created>
  <dcterms:modified xsi:type="dcterms:W3CDTF">2025-07-08T19:55:24+02:00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